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3.10.0.0 -->
  <w:body>
    <w:p w:rsidR="00B71DBE">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ge">
                  <wp:posOffset>1358900</wp:posOffset>
                </wp:positionV>
                <wp:extent cx="2875915" cy="1962150"/>
                <wp:effectExtent l="0" t="0" r="635" b="0"/>
                <wp:wrapNone/>
                <wp:docPr id="37" name="Rectangle 37"/>
                <wp:cNvGraphicFramePr/>
                <a:graphic xmlns:a="http://schemas.openxmlformats.org/drawingml/2006/main">
                  <a:graphicData uri="http://schemas.microsoft.com/office/word/2010/wordprocessingShape">
                    <wps:wsp xmlns:wps="http://schemas.microsoft.com/office/word/2010/wordprocessingShape">
                      <wps:cNvSpPr/>
                      <wps:spPr>
                        <a:xfrm>
                          <a:off x="0" y="0"/>
                          <a:ext cx="2875915" cy="1962150"/>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7" o:spid="_x0000_s1025" style="height:154.5pt;margin-left:0;margin-top:107pt;mso-height-percent:0;mso-height-relative:margin;mso-left-percent:455;mso-position-horizontal-relative:page;mso-position-vertical-relative:page;mso-width-percent:370;mso-width-relative:page;mso-wrap-distance-bottom:0;mso-wrap-distance-left:9pt;mso-wrap-distance-right:9pt;mso-wrap-distance-top:0;mso-wrap-style:square;position:absolute;v-text-anchor:middle;visibility:visible;width:226.45pt;z-index:251661312" fillcolor="#4f81bd" stroked="f" strokeweight="2pt"/>
            </w:pict>
          </mc:Fallback>
        </mc:AlternateContent>
      </w:r>
      <w:r w:rsidR="00B163CC">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3108960" cy="9528810"/>
                <wp:effectExtent l="0" t="0" r="15240" b="15240"/>
                <wp:wrapNone/>
                <wp:docPr id="36" name="Rectangle 36"/>
                <wp:cNvGraphicFramePr/>
                <a:graphic xmlns:a="http://schemas.openxmlformats.org/drawingml/2006/main">
                  <a:graphicData uri="http://schemas.microsoft.com/office/word/2010/wordprocessingShape">
                    <wps:wsp xmlns:wps="http://schemas.microsoft.com/office/word/2010/wordprocessingShape">
                      <wps:cNvSpPr/>
                      <wps:spPr>
                        <a:xfrm>
                          <a:off x="0" y="0"/>
                          <a:ext cx="3108960" cy="9528810"/>
                        </a:xfrm>
                        <a:prstGeom prst="rect">
                          <a:avLst/>
                        </a:prstGeom>
                        <a:solidFill>
                          <a:schemeClr val="bg1"/>
                        </a:solidFill>
                        <a:ln w="15875">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6" o:spid="_x0000_s1026" style="height:750.3pt;margin-left:0;margin-top:0;mso-height-percent:0;mso-height-relative:page;mso-left-percent:440;mso-position-horizontal-relative:page;mso-position-vertical-relative:page;mso-top-percent:25;mso-width-percent:400;mso-width-relative:page;mso-wrap-distance-bottom:0;mso-wrap-distance-left:9pt;mso-wrap-distance-right:9pt;mso-wrap-distance-top:0;mso-wrap-style:square;position:absolute;v-text-anchor:middle;visibility:visible;width:244.8pt;z-index:251659264" fillcolor="white" strokecolor="#002060" strokeweight="1.25pt"/>
            </w:pict>
          </mc:Fallback>
        </mc:AlternateContent>
      </w:r>
    </w:p>
    <w:sdt>
      <w:sdtPr>
        <w:id w:val="-1086379544"/>
        <w:docPartObj>
          <w:docPartGallery w:val="Cover Pages"/>
          <w:docPartUnique/>
        </w:docPartObj>
      </w:sdtPr>
      <w:sdtEndPr>
        <w:rPr>
          <w:rFonts w:asciiTheme="minorHAnsi" w:hAnsiTheme="minorHAnsi" w:cs="Arial Narrow"/>
          <w:b/>
          <w:bCs/>
          <w:sz w:val="34"/>
          <w:szCs w:val="34"/>
        </w:rPr>
      </w:sdtEndPr>
      <w:sdtContent>
        <w:p w:rsidR="005245C9">
          <w:r>
            <w:rPr>
              <w:noProof/>
            </w:rPr>
            <w:pict>
              <v:shapetype id="_x0000_t202" coordsize="21600,21600" o:spt="202" path="m,l,21600r21600,l21600,xe">
                <v:stroke joinstyle="miter"/>
                <v:path gradientshapeok="t" o:connecttype="rect"/>
              </v:shapetype>
              <v:shape id="Text Box 2" o:spid="_x0000_s1027" type="#_x0000_t202" style="height:81pt;margin-left:206.25pt;margin-top:14.6pt;mso-height-percent:0;mso-height-relative:margin;mso-wrap-distance-bottom:0;mso-wrap-distance-left:9pt;mso-wrap-distance-right:9pt;mso-wrap-distance-top:0;mso-wrap-style:square;position:absolute;v-text-anchor:top;visibility:visible;width:226.4pt;z-index:251664384" filled="f" stroked="f"/>
            </w:pict>
          </w:r>
          <w:r>
            <w:rPr>
              <w:noProof/>
            </w:rPr>
            <w:pict>
              <v:rect id="Rectangle 34" o:spid="_x0000_s1028" style="height:752.4pt;margin-left:0;margin-top:0;mso-height-percent:950;mso-height-relative:page;mso-position-horizontal:center;mso-position-horizontal-relative:page;mso-position-vertical:center;mso-position-vertical-relative:page;mso-width-percent:950;mso-width-relative:page;mso-wrap-distance-bottom:0;mso-wrap-distance-left:9pt;mso-wrap-distance-right:9pt;mso-wrap-distance-top:0;mso-wrap-style:square;position:absolute;v-text-anchor:middle;visibility:visible;width:581.4pt;z-index:-251654144" fillcolor="#b8cce4" strokecolor="#002060" strokeweight="2pt">
                <v:path arrowok="t"/>
                <v:textbox inset="21.6pt,,21.6pt">
                  <w:txbxContent>
                    <w:p w:rsidR="005245C9"/>
                  </w:txbxContent>
                </v:textbox>
              </v:rect>
            </w:pict>
          </w:r>
          <w:r w:rsidRPr="005245C9">
            <w:rPr>
              <w:noProof/>
            </w:rPr>
            <w:t xml:space="preserve"> </w:t>
          </w:r>
        </w:p>
        <w:p w:rsidR="005245C9">
          <w:pPr>
            <w:rPr>
              <w:rFonts w:asciiTheme="minorHAnsi" w:hAnsiTheme="minorHAnsi" w:cs="Arial Narrow"/>
              <w:b/>
              <w:bCs/>
              <w:sz w:val="34"/>
              <w:szCs w:val="34"/>
            </w:rPr>
          </w:pPr>
          <w:r>
            <w:rPr>
              <w:rFonts w:asciiTheme="minorHAnsi" w:hAnsiTheme="minorHAnsi" w:cs="Arial Narrow"/>
              <w:b/>
              <w:bCs/>
              <w:noProof/>
              <w:sz w:val="34"/>
              <w:szCs w:val="34"/>
            </w:rPr>
            <w:pict>
              <v:shape id="Text Box 39" o:spid="_x0000_s1029" type="#_x0000_t202" style="height:249.75pt;margin-left:206.25pt;margin-top:134.75pt;mso-height-percent:0;mso-height-relative:margin;mso-width-percent:0;mso-width-relative:margin;mso-wrap-distance-bottom:0;mso-wrap-distance-left:9pt;mso-wrap-distance-right:9pt;mso-wrap-distance-top:0;mso-wrap-style:square;position:absolute;v-text-anchor:top;visibility:visible;width:234.6pt;z-index:251663360" filled="f" stroked="f" strokeweight="0.5pt">
                <v:textbox>
                  <w:txbxContent>
                    <w:sdt>
                      <w:sdtPr>
                        <w:rPr>
                          <w:rFonts w:asciiTheme="minorHAnsi" w:hAnsiTheme="minorHAnsi"/>
                          <w:noProof/>
                          <w:color w:val="4F81BD" w:themeColor="accent1"/>
                          <w:sz w:val="72"/>
                          <w:szCs w:val="144"/>
                        </w:rPr>
                        <w:alias w:val="Title"/>
                        <w:id w:val="-299074163"/>
                        <w:dataBinding w:xpath="/ns0:coreProperties[1]/ns1:title[1]" w:storeItemID="{6C3C8BC8-F283-45AE-878A-BAB7291924A1}" w:prefixMappings="xmlns:ns0='http://schemas.openxmlformats.org/package/2006/metadata/core-properties' xmlns:ns1='http://purl.org/dc/elements/1.1/'"/>
                        <w:text/>
                      </w:sdtPr>
                      <w:sdtContent>
                        <w:p w:rsidR="005245C9" w:rsidP="00B71DBE">
                          <w:pPr>
                            <w:ind w:left="0" w:firstLine="0"/>
                            <w:rPr>
                              <w:rFonts w:asciiTheme="majorHAnsi" w:hAnsiTheme="majorHAnsi"/>
                              <w:noProof/>
                              <w:color w:val="4F81BD" w:themeColor="accent1"/>
                              <w:sz w:val="72"/>
                              <w:szCs w:val="144"/>
                            </w:rPr>
                          </w:pPr>
                          <w:r>
                            <w:rPr>
                              <w:rFonts w:asciiTheme="minorHAnsi" w:hAnsiTheme="minorHAnsi"/>
                              <w:noProof/>
                              <w:color w:val="4F81BD" w:themeColor="accent1"/>
                              <w:sz w:val="72"/>
                              <w:szCs w:val="144"/>
                            </w:rPr>
                            <w:t>Panel Counsel Gifts and Entertainment Policy</w:t>
                          </w:r>
                        </w:p>
                      </w:sdtContent>
                    </w:sdt>
                    <w:sdt>
                      <w:sdtPr>
                        <w:rPr>
                          <w:rFonts w:asciiTheme="minorHAnsi" w:hAnsiTheme="minorHAnsi"/>
                          <w:noProof/>
                          <w:color w:val="4F81BD" w:themeColor="accent1"/>
                          <w:sz w:val="52"/>
                          <w:szCs w:val="144"/>
                        </w:rPr>
                        <w:alias w:val="Subtitle"/>
                        <w:id w:val="-496883454"/>
                        <w:dataBinding w:xpath="/ns0:coreProperties[1]/ns1:subject[1]" w:storeItemID="{6C3C8BC8-F283-45AE-878A-BAB7291924A1}" w:prefixMappings="xmlns:ns0='http://schemas.openxmlformats.org/package/2006/metadata/core-properties' xmlns:ns1='http://purl.org/dc/elements/1.1/'"/>
                        <w:text/>
                      </w:sdtPr>
                      <w:sdtContent>
                        <w:p w:rsidR="005245C9">
                          <w:pPr>
                            <w:rPr>
                              <w:rFonts w:asciiTheme="majorHAnsi" w:hAnsiTheme="majorHAnsi"/>
                              <w:noProof/>
                              <w:color w:val="1F497D" w:themeColor="text2"/>
                              <w:sz w:val="32"/>
                              <w:szCs w:val="40"/>
                            </w:rPr>
                          </w:pPr>
                          <w:r w:rsidRPr="00B71DBE">
                            <w:rPr>
                              <w:rFonts w:asciiTheme="minorHAnsi" w:hAnsiTheme="minorHAnsi"/>
                              <w:noProof/>
                              <w:color w:val="4F81BD" w:themeColor="accent1"/>
                              <w:sz w:val="52"/>
                              <w:szCs w:val="144"/>
                            </w:rPr>
                            <w:t>2016</w:t>
                          </w:r>
                        </w:p>
                      </w:sdtContent>
                    </w:sdt>
                  </w:txbxContent>
                </v:textbox>
              </v:shape>
            </w:pict>
          </w:r>
          <w:r>
            <w:rPr>
              <w:noProof/>
            </w:rPr>
            <w:pict>
              <v:shape id="_x0000_s1030" type="#_x0000_t202" style="height:141.58pt;margin-left:-50.25pt;margin-top:601.6pt;mso-height-percent:200;mso-height-relative:margin;mso-width-percent:0;mso-width-relative:margin;mso-wrap-distance-bottom:0;mso-wrap-distance-left:9pt;mso-wrap-distance-right:9pt;mso-wrap-distance-top:0;mso-wrap-style:square;position:absolute;v-text-anchor:top;visibility:visible;width:3in;z-index:251665408" filled="f" stroked="f">
                <v:textbox style="mso-fit-shape-to-text:t">
                  <w:txbxContent>
                    <w:p w:rsidR="001F7A4D" w:rsidRPr="001F7A4D">
                      <w:pPr>
                        <w:rPr>
                          <w:rFonts w:asciiTheme="minorHAnsi" w:hAnsiTheme="minorHAnsi"/>
                          <w:b/>
                          <w:color w:val="002060"/>
                          <w:sz w:val="22"/>
                          <w:szCs w:val="22"/>
                        </w:rPr>
                      </w:pPr>
                      <w:r w:rsidRPr="001F7A4D">
                        <w:rPr>
                          <w:rFonts w:asciiTheme="minorHAnsi" w:hAnsiTheme="minorHAnsi"/>
                          <w:b/>
                          <w:color w:val="002060"/>
                          <w:sz w:val="22"/>
                          <w:szCs w:val="22"/>
                        </w:rPr>
                        <w:t xml:space="preserve">© 2016 Catalina U.S. Insurance Services LLC </w:t>
                      </w:r>
                    </w:p>
                  </w:txbxContent>
                </v:textbox>
              </v:shape>
            </w:pict>
          </w:r>
          <w:r w:rsidR="005245C9">
            <w:rPr>
              <w:rFonts w:asciiTheme="minorHAnsi" w:hAnsiTheme="minorHAnsi" w:cs="Arial Narrow"/>
              <w:b/>
              <w:bCs/>
              <w:sz w:val="34"/>
              <w:szCs w:val="34"/>
            </w:rPr>
            <w:br w:type="page"/>
          </w:r>
        </w:p>
      </w:sdtContent>
    </w:sdt>
    <w:p w:rsidR="00826AF8" w:rsidRPr="00826AF8" w:rsidP="00826AF8">
      <w:pPr>
        <w:autoSpaceDE w:val="0"/>
        <w:autoSpaceDN w:val="0"/>
        <w:adjustRightInd w:val="0"/>
        <w:spacing w:before="0"/>
        <w:ind w:left="0" w:firstLine="0"/>
        <w:jc w:val="center"/>
        <w:rPr>
          <w:rFonts w:ascii="Calibri" w:hAnsi="Calibri" w:eastAsiaTheme="minorHAnsi" w:cs="Calibri"/>
          <w:b/>
          <w:bCs/>
          <w:smallCaps/>
          <w:sz w:val="32"/>
          <w:szCs w:val="19"/>
        </w:rPr>
      </w:pPr>
      <w:r w:rsidRPr="00826AF8">
        <w:rPr>
          <w:rFonts w:ascii="Calibri" w:hAnsi="Calibri" w:eastAsiaTheme="minorHAnsi" w:cs="Calibri"/>
          <w:b/>
          <w:bCs/>
          <w:smallCaps/>
          <w:sz w:val="32"/>
          <w:szCs w:val="19"/>
        </w:rPr>
        <w:t>Gifts and Entertainments from Counsel to Catalina Claim Personnel</w:t>
      </w:r>
    </w:p>
    <w:p w:rsidR="00826AF8" w:rsidRPr="00826AF8" w:rsidP="00826AF8">
      <w:pPr>
        <w:autoSpaceDE w:val="0"/>
        <w:autoSpaceDN w:val="0"/>
        <w:adjustRightInd w:val="0"/>
        <w:spacing w:before="0"/>
        <w:ind w:left="0" w:firstLine="0"/>
        <w:rPr>
          <w:rFonts w:ascii="Calibri" w:hAnsi="Calibri" w:eastAsiaTheme="minorHAnsi" w:cs="Calibri"/>
          <w:b/>
          <w:bCs/>
          <w:sz w:val="19"/>
          <w:szCs w:val="19"/>
        </w:rPr>
      </w:pPr>
    </w:p>
    <w:p w:rsidR="00826AF8" w:rsidRPr="00826AF8" w:rsidP="00826AF8">
      <w:pPr>
        <w:autoSpaceDE w:val="0"/>
        <w:autoSpaceDN w:val="0"/>
        <w:adjustRightInd w:val="0"/>
        <w:spacing w:before="0"/>
        <w:ind w:left="0" w:firstLine="0"/>
        <w:jc w:val="both"/>
        <w:rPr>
          <w:rFonts w:ascii="Calibri" w:hAnsi="Calibri" w:eastAsiaTheme="minorHAnsi" w:cs="Calibri"/>
          <w:sz w:val="24"/>
          <w:szCs w:val="24"/>
        </w:rPr>
      </w:pPr>
      <w:r w:rsidRPr="00826AF8">
        <w:rPr>
          <w:rFonts w:ascii="Calibri" w:hAnsi="Calibri" w:eastAsiaTheme="minorHAnsi" w:cs="Calibri"/>
          <w:sz w:val="24"/>
          <w:szCs w:val="24"/>
        </w:rPr>
        <w:t>The Catalina Claim Department selects our attorneys for the quality of the services provided. We generally discourage counsel from providing gifts and entertainment to claim personnel because it is not necessary to maintain a relationship with Catalina. Moreover, when attorneys give gifts or entertain claim personnel</w:t>
      </w:r>
      <w:r w:rsidR="00E75498">
        <w:rPr>
          <w:rFonts w:ascii="Calibri" w:hAnsi="Calibri" w:eastAsiaTheme="minorHAnsi" w:cs="Calibri"/>
          <w:sz w:val="24"/>
          <w:szCs w:val="24"/>
        </w:rPr>
        <w:t>,</w:t>
      </w:r>
      <w:r w:rsidRPr="00826AF8">
        <w:rPr>
          <w:rFonts w:ascii="Calibri" w:hAnsi="Calibri" w:eastAsiaTheme="minorHAnsi" w:cs="Calibri"/>
          <w:sz w:val="24"/>
          <w:szCs w:val="24"/>
        </w:rPr>
        <w:t xml:space="preserve"> that fact may create an appearance that gifts and entertainment influence our counsel selection decisions and create perceptions of unfairness among members of the panel. We recognize, however, that lunches and dinners are sometimes an esse</w:t>
      </w:r>
      <w:r w:rsidR="004C74EF">
        <w:rPr>
          <w:rFonts w:ascii="Calibri" w:hAnsi="Calibri" w:eastAsiaTheme="minorHAnsi" w:cs="Calibri"/>
          <w:sz w:val="24"/>
          <w:szCs w:val="24"/>
        </w:rPr>
        <w:t>ntial part of business and that small</w:t>
      </w:r>
      <w:r w:rsidR="00E75498">
        <w:rPr>
          <w:rFonts w:ascii="Calibri" w:hAnsi="Calibri" w:eastAsiaTheme="minorHAnsi" w:cs="Calibri"/>
          <w:sz w:val="24"/>
          <w:szCs w:val="24"/>
        </w:rPr>
        <w:t xml:space="preserve"> </w:t>
      </w:r>
      <w:r w:rsidRPr="00826AF8">
        <w:rPr>
          <w:rFonts w:ascii="Calibri" w:hAnsi="Calibri" w:eastAsiaTheme="minorHAnsi" w:cs="Calibri"/>
          <w:sz w:val="24"/>
          <w:szCs w:val="24"/>
        </w:rPr>
        <w:t xml:space="preserve">gifts and entertainments are a normal part of marketing. </w:t>
      </w:r>
    </w:p>
    <w:p w:rsidR="00826AF8" w:rsidRPr="00826AF8" w:rsidP="00826AF8">
      <w:pPr>
        <w:autoSpaceDE w:val="0"/>
        <w:autoSpaceDN w:val="0"/>
        <w:adjustRightInd w:val="0"/>
        <w:spacing w:before="0"/>
        <w:ind w:left="0" w:firstLine="0"/>
        <w:rPr>
          <w:rFonts w:ascii="Calibri" w:hAnsi="Calibri" w:eastAsiaTheme="minorHAnsi" w:cs="Calibri"/>
          <w:sz w:val="24"/>
          <w:szCs w:val="24"/>
        </w:rPr>
      </w:pPr>
    </w:p>
    <w:p w:rsidR="00826AF8" w:rsidRPr="00826AF8" w:rsidP="00826AF8">
      <w:pPr>
        <w:autoSpaceDE w:val="0"/>
        <w:autoSpaceDN w:val="0"/>
        <w:adjustRightInd w:val="0"/>
        <w:spacing w:before="0"/>
        <w:ind w:left="0" w:firstLine="0"/>
        <w:jc w:val="both"/>
        <w:rPr>
          <w:rFonts w:ascii="Calibri" w:hAnsi="Calibri" w:eastAsiaTheme="minorHAnsi" w:cs="Calibri"/>
          <w:sz w:val="24"/>
          <w:szCs w:val="24"/>
        </w:rPr>
      </w:pPr>
      <w:r w:rsidRPr="00826AF8">
        <w:rPr>
          <w:rFonts w:ascii="Calibri" w:hAnsi="Calibri" w:eastAsiaTheme="minorHAnsi" w:cs="Calibri"/>
          <w:sz w:val="24"/>
          <w:szCs w:val="24"/>
        </w:rPr>
        <w:t>As with most insurers, Catalina has established a policy for our claim</w:t>
      </w:r>
      <w:r w:rsidR="00E75498">
        <w:rPr>
          <w:rFonts w:ascii="Calibri" w:hAnsi="Calibri" w:eastAsiaTheme="minorHAnsi" w:cs="Calibri"/>
          <w:sz w:val="24"/>
          <w:szCs w:val="24"/>
        </w:rPr>
        <w:t>s</w:t>
      </w:r>
      <w:r w:rsidRPr="00826AF8">
        <w:rPr>
          <w:rFonts w:ascii="Calibri" w:hAnsi="Calibri" w:eastAsiaTheme="minorHAnsi" w:cs="Calibri"/>
          <w:sz w:val="24"/>
          <w:szCs w:val="24"/>
        </w:rPr>
        <w:t xml:space="preserve"> employees regarding receipt of gifts and entertainment. Except for gifts or entertainment of nominal value made as a part of normal business activity, no claim</w:t>
      </w:r>
      <w:r w:rsidR="00E75498">
        <w:rPr>
          <w:rFonts w:ascii="Calibri" w:hAnsi="Calibri" w:eastAsiaTheme="minorHAnsi" w:cs="Calibri"/>
          <w:sz w:val="24"/>
          <w:szCs w:val="24"/>
        </w:rPr>
        <w:t>s</w:t>
      </w:r>
      <w:r w:rsidRPr="00826AF8">
        <w:rPr>
          <w:rFonts w:ascii="Calibri" w:hAnsi="Calibri" w:eastAsiaTheme="minorHAnsi" w:cs="Calibri"/>
          <w:sz w:val="24"/>
          <w:szCs w:val="24"/>
        </w:rPr>
        <w:t xml:space="preserve"> employee may accept, or permit family members to accept, any gift or thing of value, payment, or favor from any person, firm, corporation, or any other entity not affiliated with Catalina, which is, or might appear to be, intended to influence or create a potential conflict of interest with the performance of that employee's official duties.</w:t>
      </w:r>
    </w:p>
    <w:p w:rsidR="00826AF8" w:rsidRPr="00826AF8" w:rsidP="00826AF8">
      <w:pPr>
        <w:autoSpaceDE w:val="0"/>
        <w:autoSpaceDN w:val="0"/>
        <w:adjustRightInd w:val="0"/>
        <w:spacing w:before="0"/>
        <w:ind w:left="0" w:firstLine="0"/>
        <w:rPr>
          <w:rFonts w:ascii="Calibri" w:hAnsi="Calibri" w:eastAsiaTheme="minorHAnsi" w:cs="Calibri"/>
          <w:sz w:val="24"/>
          <w:szCs w:val="24"/>
        </w:rPr>
      </w:pPr>
    </w:p>
    <w:p w:rsidR="00826AF8" w:rsidRPr="00826AF8" w:rsidP="00826AF8">
      <w:pPr>
        <w:autoSpaceDE w:val="0"/>
        <w:autoSpaceDN w:val="0"/>
        <w:adjustRightInd w:val="0"/>
        <w:spacing w:before="0"/>
        <w:ind w:left="0" w:firstLine="0"/>
        <w:jc w:val="both"/>
        <w:rPr>
          <w:rFonts w:ascii="Calibri" w:hAnsi="Calibri" w:eastAsiaTheme="minorHAnsi" w:cs="Calibri"/>
          <w:sz w:val="24"/>
          <w:szCs w:val="24"/>
        </w:rPr>
      </w:pPr>
      <w:r w:rsidRPr="00826AF8">
        <w:rPr>
          <w:rFonts w:ascii="Calibri" w:hAnsi="Calibri" w:eastAsiaTheme="minorHAnsi" w:cs="Calibri"/>
          <w:sz w:val="24"/>
          <w:szCs w:val="24"/>
        </w:rPr>
        <w:t>To enable counsel to avoid any appearance of impropriety, counsel should adhere to the following guidelines:</w:t>
      </w:r>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Pr>
          <w:rFonts w:ascii="Calibri" w:hAnsi="Calibri" w:eastAsiaTheme="minorHAnsi" w:cs="Calibri"/>
          <w:sz w:val="24"/>
          <w:szCs w:val="24"/>
        </w:rPr>
        <w:t>A gift of “n</w:t>
      </w:r>
      <w:r w:rsidRPr="00826AF8">
        <w:rPr>
          <w:rFonts w:ascii="Calibri" w:hAnsi="Calibri" w:eastAsiaTheme="minorHAnsi" w:cs="Calibri"/>
          <w:sz w:val="24"/>
          <w:szCs w:val="24"/>
        </w:rPr>
        <w:t>ominal value” is a gift under $50 in value and generally should be limited to usual and customary marketing and promotional type items.</w:t>
      </w:r>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sidRPr="00826AF8">
        <w:rPr>
          <w:rFonts w:ascii="Calibri" w:hAnsi="Calibri" w:eastAsiaTheme="minorHAnsi" w:cs="Calibri"/>
          <w:sz w:val="24"/>
          <w:szCs w:val="24"/>
        </w:rPr>
        <w:t xml:space="preserve">Avoid offering free or reduced-price personal services such as will drafting, travel, etc. </w:t>
      </w:r>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sidRPr="00826AF8">
        <w:rPr>
          <w:rFonts w:ascii="Calibri" w:hAnsi="Calibri" w:eastAsiaTheme="minorHAnsi" w:cs="Calibri"/>
          <w:sz w:val="24"/>
          <w:szCs w:val="24"/>
        </w:rPr>
        <w:t xml:space="preserve">Do not offer cash gifts or cash equivalents, such as gift certificates. </w:t>
      </w:r>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sidRPr="00826AF8">
        <w:rPr>
          <w:rFonts w:ascii="Calibri" w:hAnsi="Calibri" w:eastAsiaTheme="minorHAnsi" w:cs="Calibri"/>
          <w:sz w:val="24"/>
          <w:szCs w:val="24"/>
        </w:rPr>
        <w:t>Permissible gifts should be delivered to our offices rather than employee homes. If an employee works from his or her home permissible gifts nevertheless should not be sent to the home unless that employee has received written approval from Catalina’s Chief Claim Officer to receive items at home. Counsel, therefore, should check in advance for such writing before sending anything to a home.</w:t>
      </w:r>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sidRPr="00826AF8">
        <w:rPr>
          <w:rFonts w:ascii="Calibri" w:hAnsi="Calibri" w:eastAsiaTheme="minorHAnsi" w:cs="Calibri"/>
          <w:sz w:val="24"/>
          <w:szCs w:val="24"/>
        </w:rPr>
        <w:t xml:space="preserve">Catalina recognizes that situations occur in our relationships with counsel when it will be appropriate for you to extend an invitation for lunch or dinner, or an entertainment that would normally be considered social or recreational. Since in many instances business is discussed at these events, such meetings are permissible provided that business is being discussed. The total expense involved must be reasonable and generally should not exceed $200 per person. </w:t>
      </w:r>
      <w:bookmarkStart w:id="0" w:name="_GoBack"/>
      <w:bookmarkEnd w:id="0"/>
    </w:p>
    <w:p w:rsidR="00826AF8" w:rsidRPr="00826AF8" w:rsidP="00826AF8">
      <w:pPr>
        <w:numPr>
          <w:ilvl w:val="0"/>
          <w:numId w:val="46"/>
        </w:numPr>
        <w:autoSpaceDE w:val="0"/>
        <w:autoSpaceDN w:val="0"/>
        <w:adjustRightInd w:val="0"/>
        <w:spacing w:before="0" w:after="200" w:line="276" w:lineRule="auto"/>
        <w:contextualSpacing/>
        <w:jc w:val="both"/>
        <w:rPr>
          <w:rFonts w:ascii="Calibri" w:hAnsi="Calibri" w:eastAsiaTheme="minorHAnsi" w:cs="Calibri"/>
          <w:sz w:val="24"/>
          <w:szCs w:val="24"/>
        </w:rPr>
      </w:pPr>
      <w:r w:rsidRPr="00826AF8">
        <w:rPr>
          <w:rFonts w:ascii="Calibri" w:hAnsi="Calibri" w:eastAsiaTheme="minorHAnsi" w:cs="Calibri"/>
          <w:sz w:val="24"/>
          <w:szCs w:val="24"/>
        </w:rPr>
        <w:t xml:space="preserve">Any gift or entertainment should be occasional only. Frequent gifts or entertainments provided to the same claim person should be avoided. </w:t>
      </w:r>
    </w:p>
    <w:p w:rsidR="00826AF8" w:rsidRPr="00826AF8" w:rsidP="00826AF8">
      <w:pPr>
        <w:autoSpaceDE w:val="0"/>
        <w:autoSpaceDN w:val="0"/>
        <w:adjustRightInd w:val="0"/>
        <w:spacing w:before="0"/>
        <w:ind w:left="0" w:firstLine="0"/>
        <w:jc w:val="both"/>
        <w:rPr>
          <w:rFonts w:ascii="Calibri" w:hAnsi="Calibri" w:eastAsiaTheme="minorHAnsi" w:cs="Calibri"/>
          <w:sz w:val="24"/>
          <w:szCs w:val="24"/>
        </w:rPr>
      </w:pPr>
    </w:p>
    <w:p w:rsidR="00C72172" w:rsidRPr="00C72172" w:rsidP="00826AF8">
      <w:pPr>
        <w:autoSpaceDE w:val="0"/>
        <w:autoSpaceDN w:val="0"/>
        <w:adjustRightInd w:val="0"/>
        <w:spacing w:before="0"/>
        <w:ind w:left="0" w:firstLine="0"/>
        <w:jc w:val="both"/>
        <w:rPr>
          <w:rFonts w:asciiTheme="minorHAnsi" w:hAnsiTheme="minorHAnsi"/>
          <w:b/>
          <w:bCs/>
          <w:spacing w:val="1"/>
          <w:sz w:val="26"/>
          <w:szCs w:val="26"/>
        </w:rPr>
      </w:pPr>
      <w:r w:rsidRPr="00826AF8">
        <w:rPr>
          <w:rFonts w:ascii="Calibri" w:hAnsi="Calibri" w:eastAsiaTheme="minorHAnsi" w:cs="Calibri"/>
          <w:sz w:val="24"/>
          <w:szCs w:val="24"/>
        </w:rPr>
        <w:t>Although gifts and entertainments within our guidelines are permissible, no attorney should feel obligated to offer any gift or entertainment to Catalina claim personnel. We select attorneys for our panel and assign claims for litigation defense based upon the experience, skills, and results of our attorneys. Gifts and entertainments are not expected and, if outside our policy and guidelines, could be counter-productive. So we appreciate counsel’s consideration and compliance with our policy and guidelines.</w:t>
      </w:r>
    </w:p>
    <w:sectPr w:rsidSect="00826AF8">
      <w:headerReference w:type="even" r:id="rId4"/>
      <w:headerReference w:type="default" r:id="rId5"/>
      <w:headerReference w:type="first" r:id="rId6"/>
      <w:pgSz w:w="12240" w:h="15840"/>
      <w:pgMar w:top="990" w:right="1440" w:bottom="692" w:left="1440" w:header="450" w:footer="679" w:gutter="0"/>
      <w:pgNumType w:start="0"/>
      <w:cols w:space="720"/>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9F">
    <w:pPr>
      <w:keepNext/>
      <w:keepLines/>
      <w:tabs>
        <w:tab w:val="left" w:pos="3692"/>
      </w:tabs>
      <w:ind w:left="72"/>
      <w:rPr>
        <w:rFonts w:ascii="Bookman Old Style" w:hAnsi="Bookman Old Style" w:cs="Bookman Old Style"/>
        <w:b/>
        <w:bCs/>
        <w:spacing w:val="20"/>
      </w:rPr>
    </w:pPr>
    <w:r>
      <w:rPr>
        <w:sz w:val="24"/>
        <w:szCs w:val="24"/>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9F">
    <w:pPr>
      <w:keepNext/>
      <w:keepLines/>
      <w:tabs>
        <w:tab w:val="left" w:pos="3692"/>
      </w:tabs>
      <w:ind w:left="72"/>
      <w:rPr>
        <w:rFonts w:ascii="Bookman Old Style" w:hAnsi="Bookman Old Style" w:cs="Bookman Old Style"/>
        <w:b/>
        <w:bCs/>
        <w:spacing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79F">
    <w:pPr>
      <w:keepNext/>
      <w:keepLines/>
      <w:tabs>
        <w:tab w:val="left" w:pos="3692"/>
      </w:tabs>
      <w:ind w:left="72"/>
      <w:rPr>
        <w:rFonts w:ascii="Bookman Old Style" w:hAnsi="Bookman Old Style" w:cs="Bookman Old Style"/>
        <w:b/>
        <w:bCs/>
        <w:spacing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493C6"/>
    <w:multiLevelType w:val="singleLevel"/>
    <w:tmpl w:val="1351D310"/>
    <w:lvl w:ilvl="0">
      <w:start w:val="1"/>
      <w:numFmt w:val="lowerLetter"/>
      <w:lvlText w:val="%1)"/>
      <w:lvlJc w:val="left"/>
      <w:pPr>
        <w:tabs>
          <w:tab w:val="num" w:pos="432"/>
        </w:tabs>
        <w:ind w:left="648" w:hanging="432"/>
      </w:pPr>
      <w:rPr>
        <w:snapToGrid/>
        <w:sz w:val="26"/>
        <w:szCs w:val="26"/>
      </w:rPr>
    </w:lvl>
  </w:abstractNum>
  <w:abstractNum w:abstractNumId="1">
    <w:nsid w:val="01926F00"/>
    <w:multiLevelType w:val="singleLevel"/>
    <w:tmpl w:val="24FC1D11"/>
    <w:lvl w:ilvl="0">
      <w:start w:val="1"/>
      <w:numFmt w:val="decimal"/>
      <w:lvlText w:val="%1)"/>
      <w:lvlJc w:val="left"/>
      <w:pPr>
        <w:tabs>
          <w:tab w:val="num" w:pos="360"/>
        </w:tabs>
        <w:ind w:left="360" w:hanging="360"/>
      </w:pPr>
      <w:rPr>
        <w:snapToGrid/>
        <w:sz w:val="26"/>
        <w:szCs w:val="26"/>
      </w:rPr>
    </w:lvl>
  </w:abstractNum>
  <w:abstractNum w:abstractNumId="2">
    <w:nsid w:val="01A82B9E"/>
    <w:multiLevelType w:val="singleLevel"/>
    <w:tmpl w:val="2A549910"/>
    <w:lvl w:ilvl="0">
      <w:start w:val="6"/>
      <w:numFmt w:val="decimal"/>
      <w:lvlText w:val="%1)"/>
      <w:lvlJc w:val="left"/>
      <w:pPr>
        <w:tabs>
          <w:tab w:val="num" w:pos="360"/>
        </w:tabs>
        <w:ind w:left="288" w:hanging="288"/>
      </w:pPr>
      <w:rPr>
        <w:snapToGrid/>
        <w:sz w:val="26"/>
        <w:szCs w:val="26"/>
      </w:rPr>
    </w:lvl>
  </w:abstractNum>
  <w:abstractNum w:abstractNumId="3">
    <w:nsid w:val="01FE30FC"/>
    <w:multiLevelType w:val="singleLevel"/>
    <w:tmpl w:val="4F84A053"/>
    <w:lvl w:ilvl="0">
      <w:start w:val="5"/>
      <w:numFmt w:val="upperLetter"/>
      <w:lvlText w:val="%1."/>
      <w:lvlJc w:val="left"/>
      <w:pPr>
        <w:tabs>
          <w:tab w:val="num" w:pos="360"/>
        </w:tabs>
      </w:pPr>
      <w:rPr>
        <w:rFonts w:ascii="Arial Narrow" w:hAnsi="Arial Narrow" w:cs="Arial Narrow"/>
        <w:b/>
        <w:bCs/>
        <w:snapToGrid/>
        <w:sz w:val="28"/>
        <w:szCs w:val="28"/>
      </w:rPr>
    </w:lvl>
  </w:abstractNum>
  <w:abstractNum w:abstractNumId="4">
    <w:nsid w:val="028027C8"/>
    <w:multiLevelType w:val="singleLevel"/>
    <w:tmpl w:val="77AB5601"/>
    <w:lvl w:ilvl="0">
      <w:start w:val="1"/>
      <w:numFmt w:val="decimal"/>
      <w:lvlText w:val="%1)"/>
      <w:lvlJc w:val="left"/>
      <w:pPr>
        <w:tabs>
          <w:tab w:val="num" w:pos="360"/>
        </w:tabs>
        <w:ind w:left="360" w:hanging="360"/>
      </w:pPr>
      <w:rPr>
        <w:snapToGrid/>
        <w:sz w:val="26"/>
        <w:szCs w:val="26"/>
      </w:rPr>
    </w:lvl>
  </w:abstractNum>
  <w:abstractNum w:abstractNumId="5">
    <w:nsid w:val="0298E2E8"/>
    <w:multiLevelType w:val="singleLevel"/>
    <w:tmpl w:val="6D2BFFF4"/>
    <w:lvl w:ilvl="0">
      <w:start w:val="0"/>
      <w:numFmt w:val="bullet"/>
      <w:lvlText w:val="Ø"/>
      <w:lvlJc w:val="left"/>
      <w:pPr>
        <w:tabs>
          <w:tab w:val="num" w:pos="360"/>
        </w:tabs>
        <w:ind w:left="1872"/>
      </w:pPr>
      <w:rPr>
        <w:rFonts w:ascii="Wingdings" w:hAnsi="Wingdings" w:cs="Wingdings"/>
        <w:snapToGrid/>
        <w:sz w:val="24"/>
        <w:szCs w:val="24"/>
      </w:rPr>
    </w:lvl>
  </w:abstractNum>
  <w:abstractNum w:abstractNumId="6">
    <w:nsid w:val="02D7E676"/>
    <w:multiLevelType w:val="singleLevel"/>
    <w:tmpl w:val="319D648B"/>
    <w:lvl w:ilvl="0">
      <w:start w:val="1"/>
      <w:numFmt w:val="decimal"/>
      <w:lvlText w:val="%1)"/>
      <w:lvlJc w:val="left"/>
      <w:pPr>
        <w:tabs>
          <w:tab w:val="num" w:pos="360"/>
        </w:tabs>
        <w:ind w:left="360" w:hanging="360"/>
      </w:pPr>
      <w:rPr>
        <w:snapToGrid/>
        <w:spacing w:val="1"/>
        <w:sz w:val="26"/>
        <w:szCs w:val="26"/>
      </w:rPr>
    </w:lvl>
  </w:abstractNum>
  <w:abstractNum w:abstractNumId="7">
    <w:nsid w:val="0325457F"/>
    <w:multiLevelType w:val="singleLevel"/>
    <w:tmpl w:val="7E3B69C7"/>
    <w:lvl w:ilvl="0">
      <w:start w:val="5"/>
      <w:numFmt w:val="decimal"/>
      <w:lvlText w:val="%1)"/>
      <w:lvlJc w:val="left"/>
      <w:pPr>
        <w:tabs>
          <w:tab w:val="num" w:pos="360"/>
        </w:tabs>
        <w:ind w:left="288" w:hanging="288"/>
      </w:pPr>
      <w:rPr>
        <w:snapToGrid/>
        <w:spacing w:val="1"/>
        <w:sz w:val="26"/>
        <w:szCs w:val="26"/>
      </w:rPr>
    </w:lvl>
  </w:abstractNum>
  <w:abstractNum w:abstractNumId="8">
    <w:nsid w:val="032E3AC1"/>
    <w:multiLevelType w:val="multilevel"/>
    <w:tmpl w:val="74C4DE6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rPr>
    </w:lvl>
    <w:lvl w:ilvl="2">
      <w:start w:val="1"/>
      <w:numFmt w:val="decimal"/>
      <w:lvlText w:val="%1.%2.%3."/>
      <w:lvlJc w:val="lef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03495D0C"/>
    <w:multiLevelType w:val="singleLevel"/>
    <w:tmpl w:val="41F79929"/>
    <w:lvl w:ilvl="0">
      <w:start w:val="1"/>
      <w:numFmt w:val="lowerLetter"/>
      <w:lvlText w:val="%1)"/>
      <w:lvlJc w:val="left"/>
      <w:pPr>
        <w:tabs>
          <w:tab w:val="num" w:pos="432"/>
        </w:tabs>
        <w:ind w:left="504" w:hanging="432"/>
      </w:pPr>
      <w:rPr>
        <w:snapToGrid/>
        <w:sz w:val="26"/>
        <w:szCs w:val="26"/>
      </w:rPr>
    </w:lvl>
  </w:abstractNum>
  <w:abstractNum w:abstractNumId="10">
    <w:nsid w:val="03809813"/>
    <w:multiLevelType w:val="singleLevel"/>
    <w:tmpl w:val="6F4F69D0"/>
    <w:lvl w:ilvl="0">
      <w:start w:val="0"/>
      <w:numFmt w:val="bullet"/>
      <w:lvlText w:val="q"/>
      <w:lvlJc w:val="left"/>
      <w:pPr>
        <w:tabs>
          <w:tab w:val="num" w:pos="432"/>
        </w:tabs>
      </w:pPr>
      <w:rPr>
        <w:rFonts w:ascii="Wingdings" w:hAnsi="Wingdings" w:cs="Wingdings"/>
        <w:snapToGrid/>
        <w:sz w:val="26"/>
        <w:szCs w:val="26"/>
      </w:rPr>
    </w:lvl>
  </w:abstractNum>
  <w:abstractNum w:abstractNumId="11">
    <w:nsid w:val="0393F8F1"/>
    <w:multiLevelType w:val="singleLevel"/>
    <w:tmpl w:val="016E9CDE"/>
    <w:lvl w:ilvl="0">
      <w:start w:val="0"/>
      <w:numFmt w:val="bullet"/>
      <w:lvlText w:val="·"/>
      <w:lvlJc w:val="left"/>
      <w:pPr>
        <w:tabs>
          <w:tab w:val="num" w:pos="360"/>
        </w:tabs>
        <w:ind w:left="1368"/>
      </w:pPr>
      <w:rPr>
        <w:rFonts w:ascii="Symbol" w:hAnsi="Symbol" w:cs="Symbol"/>
        <w:snapToGrid/>
        <w:sz w:val="24"/>
        <w:szCs w:val="24"/>
      </w:rPr>
    </w:lvl>
  </w:abstractNum>
  <w:abstractNum w:abstractNumId="12">
    <w:nsid w:val="0460DECD"/>
    <w:multiLevelType w:val="singleLevel"/>
    <w:tmpl w:val="0F6C6105"/>
    <w:lvl w:ilvl="0">
      <w:start w:val="0"/>
      <w:numFmt w:val="bullet"/>
      <w:lvlText w:val="&gt;"/>
      <w:lvlJc w:val="left"/>
      <w:pPr>
        <w:tabs>
          <w:tab w:val="num" w:pos="360"/>
        </w:tabs>
        <w:ind w:left="1872"/>
      </w:pPr>
      <w:rPr>
        <w:rFonts w:ascii="Arial" w:hAnsi="Arial" w:cs="Arial"/>
        <w:snapToGrid/>
        <w:sz w:val="24"/>
        <w:szCs w:val="24"/>
      </w:rPr>
    </w:lvl>
  </w:abstractNum>
  <w:abstractNum w:abstractNumId="13">
    <w:nsid w:val="048D7E71"/>
    <w:multiLevelType w:val="singleLevel"/>
    <w:tmpl w:val="79584A9A"/>
    <w:lvl w:ilvl="0">
      <w:start w:val="10"/>
      <w:numFmt w:val="decimal"/>
      <w:lvlText w:val="%1)"/>
      <w:lvlJc w:val="left"/>
      <w:pPr>
        <w:tabs>
          <w:tab w:val="num" w:pos="360"/>
        </w:tabs>
        <w:ind w:left="288" w:hanging="288"/>
      </w:pPr>
      <w:rPr>
        <w:snapToGrid/>
        <w:spacing w:val="1"/>
        <w:sz w:val="26"/>
        <w:szCs w:val="26"/>
      </w:rPr>
    </w:lvl>
  </w:abstractNum>
  <w:abstractNum w:abstractNumId="14">
    <w:nsid w:val="049A8A70"/>
    <w:multiLevelType w:val="singleLevel"/>
    <w:tmpl w:val="4DB42C06"/>
    <w:lvl w:ilvl="0">
      <w:start w:val="1"/>
      <w:numFmt w:val="lowerLetter"/>
      <w:lvlText w:val="%1)"/>
      <w:lvlJc w:val="left"/>
      <w:pPr>
        <w:tabs>
          <w:tab w:val="num" w:pos="360"/>
        </w:tabs>
        <w:ind w:left="288"/>
      </w:pPr>
      <w:rPr>
        <w:snapToGrid/>
        <w:sz w:val="26"/>
        <w:szCs w:val="26"/>
      </w:rPr>
    </w:lvl>
  </w:abstractNum>
  <w:abstractNum w:abstractNumId="15">
    <w:nsid w:val="04B611BF"/>
    <w:multiLevelType w:val="singleLevel"/>
    <w:tmpl w:val="1D64E94D"/>
    <w:lvl w:ilvl="0">
      <w:start w:val="1"/>
      <w:numFmt w:val="lowerLetter"/>
      <w:lvlText w:val="%1)"/>
      <w:lvlJc w:val="left"/>
      <w:pPr>
        <w:tabs>
          <w:tab w:val="num" w:pos="360"/>
        </w:tabs>
        <w:ind w:left="360" w:hanging="360"/>
      </w:pPr>
      <w:rPr>
        <w:snapToGrid/>
        <w:sz w:val="26"/>
        <w:szCs w:val="26"/>
      </w:rPr>
    </w:lvl>
  </w:abstractNum>
  <w:abstractNum w:abstractNumId="16">
    <w:nsid w:val="04BCF42D"/>
    <w:multiLevelType w:val="singleLevel"/>
    <w:tmpl w:val="3150A8A2"/>
    <w:lvl w:ilvl="0">
      <w:start w:val="1"/>
      <w:numFmt w:val="lowerLetter"/>
      <w:lvlText w:val="%1)"/>
      <w:lvlJc w:val="left"/>
      <w:pPr>
        <w:tabs>
          <w:tab w:val="num" w:pos="288"/>
        </w:tabs>
      </w:pPr>
      <w:rPr>
        <w:snapToGrid/>
        <w:sz w:val="26"/>
        <w:szCs w:val="26"/>
      </w:rPr>
    </w:lvl>
  </w:abstractNum>
  <w:abstractNum w:abstractNumId="17">
    <w:nsid w:val="04D596D0"/>
    <w:multiLevelType w:val="singleLevel"/>
    <w:tmpl w:val="35F38460"/>
    <w:lvl w:ilvl="0">
      <w:start w:val="8"/>
      <w:numFmt w:val="lowerLetter"/>
      <w:lvlText w:val="%1)"/>
      <w:lvlJc w:val="left"/>
      <w:pPr>
        <w:tabs>
          <w:tab w:val="num" w:pos="432"/>
        </w:tabs>
        <w:ind w:left="288"/>
      </w:pPr>
      <w:rPr>
        <w:snapToGrid/>
        <w:sz w:val="26"/>
        <w:szCs w:val="26"/>
      </w:rPr>
    </w:lvl>
  </w:abstractNum>
  <w:abstractNum w:abstractNumId="18">
    <w:nsid w:val="05AD2756"/>
    <w:multiLevelType w:val="singleLevel"/>
    <w:tmpl w:val="65F98E9C"/>
    <w:lvl w:ilvl="0">
      <w:start w:val="8"/>
      <w:numFmt w:val="decimal"/>
      <w:lvlText w:val="%1)"/>
      <w:lvlJc w:val="left"/>
      <w:pPr>
        <w:tabs>
          <w:tab w:val="num" w:pos="360"/>
        </w:tabs>
        <w:ind w:left="288" w:hanging="288"/>
      </w:pPr>
      <w:rPr>
        <w:snapToGrid/>
        <w:spacing w:val="2"/>
        <w:sz w:val="26"/>
        <w:szCs w:val="26"/>
      </w:rPr>
    </w:lvl>
  </w:abstractNum>
  <w:abstractNum w:abstractNumId="19">
    <w:nsid w:val="06278389"/>
    <w:multiLevelType w:val="singleLevel"/>
    <w:tmpl w:val="1ECE71B5"/>
    <w:lvl w:ilvl="0">
      <w:start w:val="1"/>
      <w:numFmt w:val="decimal"/>
      <w:lvlText w:val="%1)"/>
      <w:lvlJc w:val="left"/>
      <w:pPr>
        <w:tabs>
          <w:tab w:val="num" w:pos="432"/>
        </w:tabs>
        <w:ind w:left="1080" w:hanging="360"/>
      </w:pPr>
      <w:rPr>
        <w:snapToGrid/>
        <w:sz w:val="26"/>
        <w:szCs w:val="26"/>
      </w:rPr>
    </w:lvl>
  </w:abstractNum>
  <w:abstractNum w:abstractNumId="20">
    <w:nsid w:val="079AFAC5"/>
    <w:multiLevelType w:val="singleLevel"/>
    <w:tmpl w:val="6C0C331F"/>
    <w:lvl w:ilvl="0">
      <w:start w:val="1"/>
      <w:numFmt w:val="decimal"/>
      <w:lvlText w:val="%1)"/>
      <w:lvlJc w:val="left"/>
      <w:pPr>
        <w:tabs>
          <w:tab w:val="num" w:pos="360"/>
        </w:tabs>
        <w:ind w:left="360" w:hanging="360"/>
      </w:pPr>
      <w:rPr>
        <w:snapToGrid/>
        <w:spacing w:val="-4"/>
        <w:sz w:val="26"/>
        <w:szCs w:val="26"/>
      </w:rPr>
    </w:lvl>
  </w:abstractNum>
  <w:abstractNum w:abstractNumId="21">
    <w:nsid w:val="07CB3A89"/>
    <w:multiLevelType w:val="singleLevel"/>
    <w:tmpl w:val="59A38883"/>
    <w:lvl w:ilvl="0">
      <w:start w:val="1"/>
      <w:numFmt w:val="decimal"/>
      <w:lvlText w:val="%1)"/>
      <w:lvlJc w:val="left"/>
      <w:pPr>
        <w:tabs>
          <w:tab w:val="num" w:pos="360"/>
        </w:tabs>
        <w:ind w:left="360" w:hanging="360"/>
      </w:pPr>
      <w:rPr>
        <w:snapToGrid/>
        <w:spacing w:val="-2"/>
        <w:sz w:val="26"/>
        <w:szCs w:val="26"/>
      </w:rPr>
    </w:lvl>
  </w:abstractNum>
  <w:abstractNum w:abstractNumId="22">
    <w:nsid w:val="07CFBE8F"/>
    <w:multiLevelType w:val="singleLevel"/>
    <w:tmpl w:val="4D76E6DB"/>
    <w:lvl w:ilvl="0">
      <w:start w:val="1"/>
      <w:numFmt w:val="decimal"/>
      <w:lvlText w:val="%1)"/>
      <w:lvlJc w:val="left"/>
      <w:pPr>
        <w:tabs>
          <w:tab w:val="num" w:pos="360"/>
        </w:tabs>
        <w:ind w:left="360" w:hanging="360"/>
      </w:pPr>
      <w:rPr>
        <w:snapToGrid/>
        <w:spacing w:val="1"/>
        <w:sz w:val="26"/>
        <w:szCs w:val="26"/>
      </w:rPr>
    </w:lvl>
  </w:abstractNum>
  <w:abstractNum w:abstractNumId="23">
    <w:nsid w:val="18122F8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24E65192"/>
    <w:multiLevelType w:val="multilevel"/>
    <w:tmpl w:val="883A85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31EF66FB"/>
    <w:multiLevelType w:val="hybridMultilevel"/>
    <w:tmpl w:val="D3F4F0B0"/>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464473AC"/>
    <w:multiLevelType w:val="hybridMultilevel"/>
    <w:tmpl w:val="DB62BB30"/>
    <w:lvl w:ilvl="0">
      <w:start w:val="1"/>
      <w:numFmt w:val="decimal"/>
      <w:lvlText w:val="%1."/>
      <w:lvlJc w:val="left"/>
      <w:pPr>
        <w:tabs>
          <w:tab w:val="num" w:pos="2880"/>
        </w:tabs>
        <w:ind w:left="2880" w:hanging="720"/>
      </w:pPr>
      <w:rPr>
        <w:rFonts w:hint="default"/>
      </w:r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27">
    <w:nsid w:val="4A5D235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40D38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6922E4E"/>
    <w:multiLevelType w:val="hybridMultilevel"/>
    <w:tmpl w:val="A536842E"/>
    <w:lvl w:ilvl="0">
      <w:start w:val="1"/>
      <w:numFmt w:val="decimal"/>
      <w:lvlText w:val="%1."/>
      <w:lvlJc w:val="left"/>
      <w:pPr>
        <w:tabs>
          <w:tab w:val="num" w:pos="1080"/>
        </w:tabs>
        <w:ind w:left="1080" w:hanging="360"/>
      </w:pPr>
      <w:rPr>
        <w:rFonts w:hint="default"/>
      </w:rPr>
    </w:lvl>
    <w:lvl w:ilvl="1">
      <w:start w:val="8"/>
      <w:numFmt w:val="lowerLetter"/>
      <w:lvlText w:val="%2."/>
      <w:lvlJc w:val="left"/>
      <w:pPr>
        <w:tabs>
          <w:tab w:val="num" w:pos="1620"/>
        </w:tabs>
        <w:ind w:left="1620" w:hanging="360"/>
      </w:pPr>
      <w:rPr>
        <w:rFonts w:hint="default"/>
      </w:rPr>
    </w:lvl>
    <w:lvl w:ilvl="2" w:tentative="1">
      <w:start w:val="1"/>
      <w:numFmt w:val="lowerRoman"/>
      <w:lvlText w:val="%3."/>
      <w:lvlJc w:val="right"/>
      <w:pPr>
        <w:tabs>
          <w:tab w:val="num" w:pos="2340"/>
        </w:tabs>
        <w:ind w:left="2340" w:hanging="180"/>
      </w:p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num w:numId="1">
    <w:abstractNumId w:val="11"/>
  </w:num>
  <w:num w:numId="2">
    <w:abstractNumId w:val="11"/>
    <w:lvlOverride w:ilvl="0">
      <w:lvl w:ilvl="0">
        <w:start w:val="0"/>
        <w:numFmt w:val="bullet"/>
        <w:lvlText w:val="·"/>
        <w:lvlJc w:val="left"/>
        <w:pPr>
          <w:tabs>
            <w:tab w:val="num" w:pos="432"/>
          </w:tabs>
          <w:ind w:left="1584" w:hanging="432"/>
        </w:pPr>
        <w:rPr>
          <w:rFonts w:ascii="Symbol" w:hAnsi="Symbol" w:cs="Symbol"/>
          <w:snapToGrid/>
          <w:spacing w:val="4"/>
          <w:sz w:val="24"/>
          <w:szCs w:val="24"/>
        </w:rPr>
      </w:lvl>
    </w:lvlOverride>
  </w:num>
  <w:num w:numId="3">
    <w:abstractNumId w:val="12"/>
  </w:num>
  <w:num w:numId="4">
    <w:abstractNumId w:val="5"/>
  </w:num>
  <w:num w:numId="5">
    <w:abstractNumId w:val="5"/>
    <w:lvlOverride w:ilvl="0">
      <w:lvl w:ilvl="0">
        <w:start w:val="0"/>
        <w:numFmt w:val="bullet"/>
        <w:lvlText w:val="Ø"/>
        <w:lvlJc w:val="left"/>
        <w:pPr>
          <w:tabs>
            <w:tab w:val="num" w:pos="432"/>
          </w:tabs>
          <w:ind w:left="720"/>
        </w:pPr>
        <w:rPr>
          <w:rFonts w:ascii="Wingdings" w:hAnsi="Wingdings" w:cs="Wingdings"/>
          <w:snapToGrid/>
          <w:sz w:val="26"/>
          <w:szCs w:val="26"/>
        </w:rPr>
      </w:lvl>
    </w:lvlOverride>
  </w:num>
  <w:num w:numId="6">
    <w:abstractNumId w:val="12"/>
    <w:lvlOverride w:ilvl="0">
      <w:lvl w:ilvl="0">
        <w:start w:val="0"/>
        <w:numFmt w:val="bullet"/>
        <w:lvlText w:val="&gt;"/>
        <w:lvlJc w:val="left"/>
        <w:pPr>
          <w:tabs>
            <w:tab w:val="num" w:pos="432"/>
          </w:tabs>
          <w:ind w:left="720"/>
        </w:pPr>
        <w:rPr>
          <w:rFonts w:ascii="Arial" w:hAnsi="Arial" w:cs="Arial"/>
          <w:snapToGrid/>
          <w:sz w:val="26"/>
          <w:szCs w:val="26"/>
        </w:rPr>
      </w:lvl>
    </w:lvlOverride>
  </w:num>
  <w:num w:numId="7">
    <w:abstractNumId w:val="11"/>
    <w:lvlOverride w:ilvl="0">
      <w:lvl w:ilvl="0">
        <w:start w:val="0"/>
        <w:numFmt w:val="bullet"/>
        <w:lvlText w:val="·"/>
        <w:lvlJc w:val="left"/>
        <w:pPr>
          <w:tabs>
            <w:tab w:val="num" w:pos="432"/>
          </w:tabs>
          <w:ind w:left="720"/>
        </w:pPr>
        <w:rPr>
          <w:rFonts w:ascii="Symbol" w:hAnsi="Symbol" w:cs="Symbol"/>
          <w:snapToGrid/>
          <w:spacing w:val="-1"/>
          <w:sz w:val="26"/>
          <w:szCs w:val="26"/>
        </w:rPr>
      </w:lvl>
    </w:lvlOverride>
  </w:num>
  <w:num w:numId="8">
    <w:abstractNumId w:val="11"/>
    <w:lvlOverride w:ilvl="0">
      <w:lvl w:ilvl="0">
        <w:start w:val="0"/>
        <w:numFmt w:val="bullet"/>
        <w:lvlText w:val="·"/>
        <w:lvlJc w:val="left"/>
        <w:pPr>
          <w:tabs>
            <w:tab w:val="num" w:pos="360"/>
          </w:tabs>
          <w:ind w:left="360" w:hanging="360"/>
        </w:pPr>
        <w:rPr>
          <w:rFonts w:ascii="Symbol" w:hAnsi="Symbol" w:cs="Symbol"/>
          <w:snapToGrid/>
          <w:spacing w:val="14"/>
          <w:sz w:val="26"/>
          <w:szCs w:val="26"/>
        </w:rPr>
      </w:lvl>
    </w:lvlOverride>
  </w:num>
  <w:num w:numId="9">
    <w:abstractNumId w:val="11"/>
    <w:lvlOverride w:ilvl="0">
      <w:lvl w:ilvl="0">
        <w:start w:val="0"/>
        <w:numFmt w:val="bullet"/>
        <w:lvlText w:val="·"/>
        <w:lvlJc w:val="left"/>
        <w:pPr>
          <w:tabs>
            <w:tab w:val="num" w:pos="432"/>
          </w:tabs>
        </w:pPr>
        <w:rPr>
          <w:rFonts w:ascii="Symbol" w:hAnsi="Symbol" w:cs="Symbol"/>
          <w:snapToGrid/>
          <w:sz w:val="24"/>
          <w:szCs w:val="24"/>
        </w:rPr>
      </w:lvl>
    </w:lvlOverride>
  </w:num>
  <w:num w:numId="10">
    <w:abstractNumId w:val="11"/>
    <w:lvlOverride w:ilvl="0">
      <w:lvl w:ilvl="0">
        <w:start w:val="0"/>
        <w:numFmt w:val="bullet"/>
        <w:lvlText w:val="·"/>
        <w:lvlJc w:val="left"/>
        <w:pPr>
          <w:tabs>
            <w:tab w:val="num" w:pos="288"/>
          </w:tabs>
          <w:ind w:left="288" w:hanging="288"/>
        </w:pPr>
        <w:rPr>
          <w:rFonts w:ascii="Symbol" w:hAnsi="Symbol" w:cs="Symbol"/>
          <w:snapToGrid/>
          <w:spacing w:val="20"/>
          <w:sz w:val="24"/>
          <w:szCs w:val="24"/>
        </w:rPr>
      </w:lvl>
    </w:lvlOverride>
  </w:num>
  <w:num w:numId="11">
    <w:abstractNumId w:val="11"/>
    <w:lvlOverride w:ilvl="0">
      <w:lvl w:ilvl="0">
        <w:start w:val="0"/>
        <w:numFmt w:val="bullet"/>
        <w:lvlText w:val="·"/>
        <w:lvlJc w:val="left"/>
        <w:pPr>
          <w:tabs>
            <w:tab w:val="num" w:pos="360"/>
          </w:tabs>
          <w:ind w:left="1440" w:hanging="360"/>
        </w:pPr>
        <w:rPr>
          <w:rFonts w:ascii="Symbol" w:hAnsi="Symbol" w:cs="Symbol"/>
          <w:snapToGrid/>
          <w:spacing w:val="6"/>
          <w:sz w:val="24"/>
          <w:szCs w:val="24"/>
        </w:rPr>
      </w:lvl>
    </w:lvlOverride>
  </w:num>
  <w:num w:numId="12">
    <w:abstractNumId w:val="3"/>
  </w:num>
  <w:num w:numId="13">
    <w:abstractNumId w:val="10"/>
  </w:num>
  <w:num w:numId="14">
    <w:abstractNumId w:val="6"/>
  </w:num>
  <w:num w:numId="15">
    <w:abstractNumId w:val="14"/>
  </w:num>
  <w:num w:numId="16">
    <w:abstractNumId w:val="14"/>
    <w:lvlOverride w:ilvl="0">
      <w:lvl w:ilvl="0">
        <w:start w:val="0"/>
        <w:numFmt w:val="lowerLetter"/>
        <w:lvlText w:val="%1)"/>
        <w:lvlJc w:val="left"/>
        <w:pPr>
          <w:tabs>
            <w:tab w:val="num" w:pos="432"/>
          </w:tabs>
          <w:ind w:left="288"/>
        </w:pPr>
        <w:rPr>
          <w:snapToGrid/>
          <w:sz w:val="26"/>
          <w:szCs w:val="26"/>
        </w:rPr>
      </w:lvl>
    </w:lvlOverride>
  </w:num>
  <w:num w:numId="17">
    <w:abstractNumId w:val="17"/>
  </w:num>
  <w:num w:numId="18">
    <w:abstractNumId w:val="17"/>
    <w:lvlOverride w:ilvl="0">
      <w:lvl w:ilvl="0">
        <w:start w:val="0"/>
        <w:numFmt w:val="lowerLetter"/>
        <w:lvlText w:val="%1)"/>
        <w:lvlJc w:val="left"/>
        <w:pPr>
          <w:tabs>
            <w:tab w:val="num" w:pos="360"/>
          </w:tabs>
          <w:ind w:left="288"/>
        </w:pPr>
        <w:rPr>
          <w:snapToGrid/>
          <w:sz w:val="26"/>
          <w:szCs w:val="26"/>
        </w:rPr>
      </w:lvl>
    </w:lvlOverride>
  </w:num>
  <w:num w:numId="19">
    <w:abstractNumId w:val="13"/>
  </w:num>
  <w:num w:numId="20">
    <w:abstractNumId w:val="21"/>
  </w:num>
  <w:num w:numId="21">
    <w:abstractNumId w:val="15"/>
  </w:num>
  <w:num w:numId="22">
    <w:abstractNumId w:val="7"/>
  </w:num>
  <w:num w:numId="23">
    <w:abstractNumId w:val="4"/>
  </w:num>
  <w:num w:numId="24">
    <w:abstractNumId w:val="22"/>
  </w:num>
  <w:num w:numId="25">
    <w:abstractNumId w:val="0"/>
  </w:num>
  <w:num w:numId="26">
    <w:abstractNumId w:val="18"/>
  </w:num>
  <w:num w:numId="27">
    <w:abstractNumId w:val="20"/>
  </w:num>
  <w:num w:numId="28">
    <w:abstractNumId w:val="20"/>
    <w:lvlOverride w:ilvl="0">
      <w:lvl w:ilvl="0">
        <w:start w:val="0"/>
        <w:numFmt w:val="decimal"/>
        <w:lvlText w:val="%1)"/>
        <w:lvlJc w:val="left"/>
        <w:pPr>
          <w:tabs>
            <w:tab w:val="num" w:pos="288"/>
          </w:tabs>
          <w:ind w:left="288" w:hanging="288"/>
        </w:pPr>
        <w:rPr>
          <w:snapToGrid/>
          <w:sz w:val="26"/>
          <w:szCs w:val="26"/>
        </w:rPr>
      </w:lvl>
    </w:lvlOverride>
  </w:num>
  <w:num w:numId="29">
    <w:abstractNumId w:val="9"/>
  </w:num>
  <w:num w:numId="30">
    <w:abstractNumId w:val="2"/>
  </w:num>
  <w:num w:numId="31">
    <w:abstractNumId w:val="1"/>
  </w:num>
  <w:num w:numId="32">
    <w:abstractNumId w:val="19"/>
  </w:num>
  <w:num w:numId="33">
    <w:abstractNumId w:val="19"/>
    <w:lvlOverride w:ilvl="0">
      <w:lvl w:ilvl="0">
        <w:start w:val="0"/>
        <w:numFmt w:val="decimal"/>
        <w:lvlText w:val="%1)"/>
        <w:lvlJc w:val="left"/>
        <w:pPr>
          <w:tabs>
            <w:tab w:val="num" w:pos="360"/>
          </w:tabs>
          <w:ind w:left="1080" w:hanging="360"/>
        </w:pPr>
        <w:rPr>
          <w:snapToGrid/>
          <w:spacing w:val="5"/>
          <w:sz w:val="26"/>
          <w:szCs w:val="26"/>
        </w:rPr>
      </w:lvl>
    </w:lvlOverride>
  </w:num>
  <w:num w:numId="34">
    <w:abstractNumId w:val="16"/>
  </w:num>
  <w:num w:numId="35">
    <w:abstractNumId w:val="16"/>
    <w:lvlOverride w:ilvl="0">
      <w:lvl w:ilvl="0">
        <w:start w:val="0"/>
        <w:numFmt w:val="lowerLetter"/>
        <w:lvlText w:val="%1)"/>
        <w:lvlJc w:val="left"/>
        <w:pPr>
          <w:tabs>
            <w:tab w:val="num" w:pos="360"/>
          </w:tabs>
        </w:pPr>
        <w:rPr>
          <w:snapToGrid/>
          <w:sz w:val="26"/>
          <w:szCs w:val="26"/>
        </w:rPr>
      </w:lvl>
    </w:lvlOverride>
  </w:num>
  <w:num w:numId="36">
    <w:abstractNumId w:val="24"/>
  </w:num>
  <w:num w:numId="37">
    <w:abstractNumId w:val="24"/>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20" w:hanging="360"/>
        </w:pPr>
        <w:rPr>
          <w:rFonts w:hint="default"/>
        </w:rPr>
      </w:lvl>
    </w:lvlOverride>
    <w:lvlOverride w:ilvl="2">
      <w:lvl w:ilvl="2">
        <w:start w:val="1"/>
        <w:numFmt w:val="decimal"/>
        <w:lvlText w:val="%1.%2.%3."/>
        <w:lvlJc w:val="left"/>
        <w:pPr>
          <w:ind w:left="1080" w:hanging="36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8">
    <w:abstractNumId w:val="23"/>
  </w:num>
  <w:num w:numId="39">
    <w:abstractNumId w:val="8"/>
  </w:num>
  <w:num w:numId="40">
    <w:abstractNumId w:val="8"/>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b w:val="0"/>
          <w:i w:val="0"/>
        </w:rPr>
      </w:lvl>
    </w:lvlOverride>
    <w:lvlOverride w:ilvl="2">
      <w:lvl w:ilvl="2">
        <w:start w:val="1"/>
        <w:numFmt w:val="decimal"/>
        <w:lvlText w:val="%1.%2.%3."/>
        <w:lvlJc w:val="left"/>
        <w:pPr>
          <w:ind w:left="1080" w:hanging="36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1">
    <w:abstractNumId w:val="23"/>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080" w:hanging="36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42">
    <w:abstractNumId w:val="27"/>
  </w:num>
  <w:num w:numId="43">
    <w:abstractNumId w:val="28"/>
  </w:num>
  <w:num w:numId="44">
    <w:abstractNumId w:val="29"/>
  </w:num>
  <w:num w:numId="45">
    <w:abstractNumId w:val="26"/>
  </w:num>
  <w:num w:numId="4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doNotTrackMoves/>
  <w:defaultTabStop w:val="720"/>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before="360"/>
        <w:ind w:left="360" w:hanging="360"/>
      </w:pPr>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44D"/>
    <w:pPr>
      <w:ind w:left="720"/>
      <w:contextualSpacing/>
    </w:pPr>
  </w:style>
  <w:style w:type="paragraph" w:styleId="Header">
    <w:name w:val="header"/>
    <w:basedOn w:val="Normal"/>
    <w:link w:val="HeaderChar"/>
    <w:uiPriority w:val="99"/>
    <w:unhideWhenUsed/>
    <w:rsid w:val="001D2F6B"/>
    <w:pPr>
      <w:tabs>
        <w:tab w:val="center" w:pos="4680"/>
        <w:tab w:val="right" w:pos="9360"/>
      </w:tabs>
      <w:spacing w:before="0"/>
    </w:pPr>
  </w:style>
  <w:style w:type="character" w:customStyle="1" w:styleId="HeaderChar">
    <w:name w:val="Header Char"/>
    <w:basedOn w:val="DefaultParagraphFont"/>
    <w:link w:val="Header"/>
    <w:uiPriority w:val="99"/>
    <w:rsid w:val="001D2F6B"/>
    <w:rPr>
      <w:rFonts w:ascii="Times New Roman" w:hAnsi="Times New Roman" w:cs="Times New Roman"/>
      <w:sz w:val="20"/>
      <w:szCs w:val="20"/>
    </w:rPr>
  </w:style>
  <w:style w:type="paragraph" w:styleId="Footer">
    <w:name w:val="footer"/>
    <w:basedOn w:val="Normal"/>
    <w:link w:val="FooterChar"/>
    <w:uiPriority w:val="99"/>
    <w:unhideWhenUsed/>
    <w:rsid w:val="001D2F6B"/>
    <w:pPr>
      <w:tabs>
        <w:tab w:val="center" w:pos="4680"/>
        <w:tab w:val="right" w:pos="9360"/>
      </w:tabs>
      <w:spacing w:before="0"/>
    </w:pPr>
  </w:style>
  <w:style w:type="character" w:customStyle="1" w:styleId="FooterChar">
    <w:name w:val="Footer Char"/>
    <w:basedOn w:val="DefaultParagraphFont"/>
    <w:link w:val="Footer"/>
    <w:uiPriority w:val="99"/>
    <w:rsid w:val="001D2F6B"/>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B62E3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E32"/>
    <w:rPr>
      <w:rFonts w:ascii="Tahoma" w:hAnsi="Tahoma" w:cs="Tahoma"/>
      <w:sz w:val="16"/>
      <w:szCs w:val="16"/>
    </w:rPr>
  </w:style>
  <w:style w:type="paragraph" w:styleId="NoSpacing">
    <w:name w:val="No Spacing"/>
    <w:link w:val="NoSpacingChar"/>
    <w:uiPriority w:val="1"/>
    <w:qFormat/>
    <w:rsid w:val="005245C9"/>
    <w:pPr>
      <w:spacing w:before="0"/>
      <w:ind w:left="0" w:firstLine="0"/>
    </w:pPr>
    <w:rPr>
      <w:lang w:eastAsia="ja-JP"/>
    </w:rPr>
  </w:style>
  <w:style w:type="character" w:customStyle="1" w:styleId="NoSpacingChar">
    <w:name w:val="No Spacing Char"/>
    <w:basedOn w:val="DefaultParagraphFont"/>
    <w:link w:val="NoSpacing"/>
    <w:uiPriority w:val="1"/>
    <w:rsid w:val="005245C9"/>
    <w:rPr>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501</Words>
  <Characters>2751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Panel Counsel Gifts and Entertainment Policy</vt:lpstr>
    </vt:vector>
  </TitlesOfParts>
  <Company/>
  <LinksUpToDate>false</LinksUpToDate>
  <CharactersWithSpaces>3246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2017-08-17T23:05:28Z</dcterms:created>
  <dcterms:modified xsi:type="dcterms:W3CDTF">2017-08-17T23:05:28Z</dcterms:modified>
</cp:coreProperties>
</file>