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837" w:rsidRPr="00231D9E" w:rsidRDefault="00231D9E" w:rsidP="00231D9E">
      <w:pPr>
        <w:spacing w:after="0"/>
        <w:rPr>
          <w:rFonts w:ascii="Arial" w:hAnsi="Arial" w:cs="Arial"/>
          <w:b/>
          <w:sz w:val="24"/>
          <w:szCs w:val="24"/>
        </w:rPr>
      </w:pPr>
      <w:r w:rsidRPr="00231D9E">
        <w:rPr>
          <w:rFonts w:ascii="Arial" w:hAnsi="Arial" w:cs="Arial"/>
          <w:b/>
          <w:sz w:val="24"/>
          <w:szCs w:val="24"/>
        </w:rPr>
        <w:t>Glossary</w:t>
      </w:r>
    </w:p>
    <w:p w:rsidR="00231D9E" w:rsidRPr="00231D9E" w:rsidRDefault="00231D9E" w:rsidP="00231D9E">
      <w:pPr>
        <w:spacing w:after="0"/>
        <w:rPr>
          <w:rFonts w:ascii="Arial" w:hAnsi="Arial" w:cs="Arial"/>
          <w:sz w:val="20"/>
          <w:szCs w:val="20"/>
        </w:rPr>
      </w:pPr>
      <w:r w:rsidRPr="00231D9E">
        <w:rPr>
          <w:rFonts w:ascii="Arial" w:hAnsi="Arial" w:cs="Arial"/>
          <w:sz w:val="20"/>
          <w:szCs w:val="20"/>
        </w:rPr>
        <w:t>(</w:t>
      </w:r>
      <w:proofErr w:type="gramStart"/>
      <w:r w:rsidRPr="00231D9E">
        <w:rPr>
          <w:rFonts w:ascii="Arial" w:hAnsi="Arial" w:cs="Arial"/>
          <w:sz w:val="20"/>
          <w:szCs w:val="20"/>
        </w:rPr>
        <w:t>updated</w:t>
      </w:r>
      <w:proofErr w:type="gramEnd"/>
      <w:r w:rsidRPr="00231D9E">
        <w:rPr>
          <w:rFonts w:ascii="Arial" w:hAnsi="Arial" w:cs="Arial"/>
          <w:sz w:val="20"/>
          <w:szCs w:val="20"/>
        </w:rPr>
        <w:t xml:space="preserve"> 3/1/15 – work in progress)</w:t>
      </w:r>
    </w:p>
    <w:p w:rsidR="00231D9E" w:rsidRDefault="00231D9E" w:rsidP="00276837">
      <w:pPr>
        <w:rPr>
          <w:rFonts w:ascii="Arial" w:hAnsi="Arial" w:cs="Arial"/>
          <w:sz w:val="24"/>
          <w:szCs w:val="24"/>
        </w:rPr>
      </w:pPr>
    </w:p>
    <w:p w:rsidR="00231D9E" w:rsidRDefault="00231D9E" w:rsidP="00231D9E">
      <w:pPr>
        <w:spacing w:line="360" w:lineRule="auto"/>
        <w:jc w:val="center"/>
        <w:rPr>
          <w:b/>
        </w:rPr>
      </w:pPr>
      <w:r>
        <w:rPr>
          <w:b/>
        </w:rPr>
        <w:t>THE PEOPLE</w:t>
      </w:r>
    </w:p>
    <w:p w:rsidR="00231D9E" w:rsidRPr="000334BA" w:rsidRDefault="00231D9E" w:rsidP="00231D9E">
      <w:pPr>
        <w:rPr>
          <w:b/>
          <w:u w:val="single"/>
        </w:rPr>
      </w:pPr>
      <w:r w:rsidRPr="000334BA">
        <w:rPr>
          <w:b/>
          <w:u w:val="single"/>
        </w:rPr>
        <w:t xml:space="preserve">Adjuster </w:t>
      </w:r>
    </w:p>
    <w:p w:rsidR="00231D9E" w:rsidRDefault="00231D9E" w:rsidP="00231D9E">
      <w:pPr>
        <w:rPr>
          <w:color w:val="000000"/>
        </w:rPr>
      </w:pPr>
      <w:r w:rsidRPr="000334BA">
        <w:t>Person within, or hired by, the insurance company to assist the insurer with determining the details about the claim for insurance coverage, and extent of coverage for that claim.</w:t>
      </w:r>
      <w:r w:rsidRPr="000334BA">
        <w:rPr>
          <w:color w:val="000000"/>
        </w:rPr>
        <w:t xml:space="preserve"> Adjusters can be employees of the insurer, independent, or public.</w:t>
      </w:r>
    </w:p>
    <w:p w:rsidR="00231D9E" w:rsidRPr="000334BA" w:rsidRDefault="00231D9E" w:rsidP="00231D9E">
      <w:pPr>
        <w:pStyle w:val="ListParagraph"/>
        <w:numPr>
          <w:ilvl w:val="0"/>
          <w:numId w:val="5"/>
        </w:numPr>
        <w:spacing w:after="0" w:line="240" w:lineRule="auto"/>
        <w:rPr>
          <w:b/>
          <w:u w:val="single"/>
        </w:rPr>
      </w:pPr>
      <w:r w:rsidRPr="000334BA">
        <w:rPr>
          <w:b/>
          <w:u w:val="single"/>
        </w:rPr>
        <w:t>Adjuster - Independent</w:t>
      </w:r>
    </w:p>
    <w:p w:rsidR="00231D9E" w:rsidRDefault="00231D9E" w:rsidP="00231D9E">
      <w:pPr>
        <w:rPr>
          <w:color w:val="000000"/>
        </w:rPr>
      </w:pPr>
      <w:proofErr w:type="gramStart"/>
      <w:r w:rsidRPr="000334BA">
        <w:rPr>
          <w:color w:val="000000"/>
        </w:rPr>
        <w:t>An adjuster who assists insurers on a contract basis.</w:t>
      </w:r>
      <w:proofErr w:type="gramEnd"/>
      <w:r w:rsidRPr="000334BA">
        <w:rPr>
          <w:color w:val="000000"/>
        </w:rPr>
        <w:t xml:space="preserve">  Independent adjusters may be used when an insurer needs someone in a particular location or with a specific expertise.  Independent adjusters may work for third-party claims </w:t>
      </w:r>
      <w:r>
        <w:rPr>
          <w:color w:val="000000"/>
        </w:rPr>
        <w:t>administrators.</w:t>
      </w:r>
    </w:p>
    <w:p w:rsidR="00231D9E" w:rsidRPr="000334BA" w:rsidRDefault="00231D9E" w:rsidP="00231D9E">
      <w:pPr>
        <w:pStyle w:val="ListParagraph"/>
        <w:numPr>
          <w:ilvl w:val="0"/>
          <w:numId w:val="5"/>
        </w:numPr>
        <w:spacing w:after="0" w:line="240" w:lineRule="auto"/>
        <w:rPr>
          <w:b/>
          <w:u w:val="single"/>
        </w:rPr>
      </w:pPr>
      <w:r w:rsidRPr="000334BA">
        <w:rPr>
          <w:b/>
          <w:u w:val="single"/>
        </w:rPr>
        <w:t>Adjuster - Public</w:t>
      </w:r>
    </w:p>
    <w:p w:rsidR="00231D9E" w:rsidRDefault="00231D9E" w:rsidP="00231D9E">
      <w:pPr>
        <w:rPr>
          <w:color w:val="000000"/>
        </w:rPr>
      </w:pPr>
      <w:proofErr w:type="gramStart"/>
      <w:r w:rsidRPr="000334BA">
        <w:rPr>
          <w:color w:val="000000"/>
        </w:rPr>
        <w:t>An adjuster who represents the person making the claim.</w:t>
      </w:r>
      <w:proofErr w:type="gramEnd"/>
    </w:p>
    <w:p w:rsidR="00231D9E" w:rsidRPr="000334BA" w:rsidRDefault="00231D9E" w:rsidP="00231D9E">
      <w:pPr>
        <w:rPr>
          <w:b/>
          <w:u w:val="single"/>
        </w:rPr>
      </w:pPr>
      <w:r w:rsidRPr="000334BA">
        <w:rPr>
          <w:b/>
          <w:u w:val="single"/>
        </w:rPr>
        <w:t xml:space="preserve">Agent </w:t>
      </w:r>
    </w:p>
    <w:p w:rsidR="00231D9E" w:rsidRDefault="00231D9E" w:rsidP="00231D9E">
      <w:pPr>
        <w:rPr>
          <w:color w:val="000000"/>
          <w:shd w:val="clear" w:color="auto" w:fill="FFFFFF"/>
        </w:rPr>
      </w:pPr>
      <w:proofErr w:type="gramStart"/>
      <w:r w:rsidRPr="000334BA">
        <w:rPr>
          <w:color w:val="000000"/>
          <w:shd w:val="clear" w:color="auto" w:fill="FFFFFF"/>
        </w:rPr>
        <w:t>Person that acts on behalf of, and has the power to bind, a principal.</w:t>
      </w:r>
      <w:proofErr w:type="gramEnd"/>
      <w:r w:rsidRPr="000334BA">
        <w:rPr>
          <w:color w:val="000000"/>
          <w:shd w:val="clear" w:color="auto" w:fill="FFFFFF"/>
        </w:rPr>
        <w:t xml:space="preserve">  Agents can be employees of the insurer, independent, or agents of the policyholder (</w:t>
      </w:r>
      <w:r w:rsidRPr="000334BA">
        <w:rPr>
          <w:i/>
          <w:color w:val="000000"/>
          <w:shd w:val="clear" w:color="auto" w:fill="FFFFFF"/>
        </w:rPr>
        <w:t>i.e.</w:t>
      </w:r>
      <w:r w:rsidRPr="000334BA">
        <w:rPr>
          <w:color w:val="000000"/>
          <w:shd w:val="clear" w:color="auto" w:fill="FFFFFF"/>
        </w:rPr>
        <w:t>, brokers).</w:t>
      </w:r>
    </w:p>
    <w:p w:rsidR="00231D9E" w:rsidRPr="000334BA" w:rsidRDefault="00231D9E" w:rsidP="00231D9E">
      <w:pPr>
        <w:pStyle w:val="ListParagraph"/>
        <w:numPr>
          <w:ilvl w:val="0"/>
          <w:numId w:val="5"/>
        </w:numPr>
        <w:spacing w:after="0" w:line="240" w:lineRule="auto"/>
        <w:rPr>
          <w:b/>
          <w:u w:val="single"/>
        </w:rPr>
      </w:pPr>
      <w:r w:rsidRPr="000334BA">
        <w:rPr>
          <w:b/>
          <w:u w:val="single"/>
        </w:rPr>
        <w:t>Agent (Employee)</w:t>
      </w:r>
    </w:p>
    <w:p w:rsidR="00231D9E" w:rsidRDefault="00231D9E" w:rsidP="00231D9E">
      <w:pPr>
        <w:rPr>
          <w:color w:val="000000"/>
          <w:shd w:val="clear" w:color="auto" w:fill="FFFFFF"/>
        </w:rPr>
      </w:pPr>
      <w:proofErr w:type="gramStart"/>
      <w:r w:rsidRPr="000334BA">
        <w:rPr>
          <w:color w:val="000000"/>
          <w:shd w:val="clear" w:color="auto" w:fill="FFFFFF"/>
        </w:rPr>
        <w:t>One that solicits and negotiates insurance contracts on behalf of an insurer.</w:t>
      </w:r>
      <w:proofErr w:type="gramEnd"/>
      <w:r w:rsidRPr="000334BA">
        <w:rPr>
          <w:color w:val="000000"/>
          <w:shd w:val="clear" w:color="auto" w:fill="FFFFFF"/>
        </w:rPr>
        <w:t xml:space="preserve">  Employee-agents represent the insurer and can bind the insurer to insurance policy terms.</w:t>
      </w:r>
    </w:p>
    <w:p w:rsidR="00231D9E" w:rsidRPr="000334BA" w:rsidRDefault="00231D9E" w:rsidP="00231D9E">
      <w:pPr>
        <w:pStyle w:val="ListParagraph"/>
        <w:numPr>
          <w:ilvl w:val="0"/>
          <w:numId w:val="5"/>
        </w:numPr>
        <w:spacing w:after="0" w:line="240" w:lineRule="auto"/>
        <w:rPr>
          <w:b/>
          <w:u w:val="single"/>
        </w:rPr>
      </w:pPr>
      <w:r w:rsidRPr="000334BA">
        <w:rPr>
          <w:b/>
          <w:u w:val="single"/>
        </w:rPr>
        <w:t>Agent (Independent)</w:t>
      </w:r>
    </w:p>
    <w:p w:rsidR="00231D9E" w:rsidRPr="000334BA" w:rsidRDefault="00231D9E" w:rsidP="00231D9E">
      <w:pPr>
        <w:rPr>
          <w:color w:val="000000"/>
          <w:shd w:val="clear" w:color="auto" w:fill="FFFFFF"/>
        </w:rPr>
      </w:pPr>
      <w:proofErr w:type="gramStart"/>
      <w:r w:rsidRPr="000334BA">
        <w:rPr>
          <w:color w:val="000000"/>
          <w:shd w:val="clear" w:color="auto" w:fill="FFFFFF"/>
        </w:rPr>
        <w:t>An agent who assists one or more insurers on a contract basis.</w:t>
      </w:r>
      <w:proofErr w:type="gramEnd"/>
      <w:r w:rsidRPr="000334BA">
        <w:rPr>
          <w:color w:val="000000"/>
          <w:shd w:val="clear" w:color="auto" w:fill="FFFFFF"/>
        </w:rPr>
        <w:t xml:space="preserve">  By contrast to agent-employees, independent agents retain ownership and control over policy records.</w:t>
      </w:r>
    </w:p>
    <w:p w:rsidR="00231D9E" w:rsidRPr="000334BA" w:rsidRDefault="00231D9E" w:rsidP="00231D9E">
      <w:pPr>
        <w:rPr>
          <w:b/>
          <w:u w:val="single"/>
        </w:rPr>
      </w:pPr>
      <w:r w:rsidRPr="000334BA">
        <w:rPr>
          <w:b/>
          <w:u w:val="single"/>
        </w:rPr>
        <w:t>Broker</w:t>
      </w:r>
    </w:p>
    <w:p w:rsidR="00231D9E" w:rsidRDefault="00231D9E" w:rsidP="00231D9E">
      <w:pPr>
        <w:rPr>
          <w:color w:val="000000"/>
        </w:rPr>
      </w:pPr>
      <w:r w:rsidRPr="000334BA">
        <w:rPr>
          <w:color w:val="000000"/>
        </w:rPr>
        <w:t>One that solicits and negotiates insurance contracts on behalf of a policyholder, and may assist the insured on claims.  Most brokers are not agents of insurers and cannot bind the insurer to insurance policy terms.</w:t>
      </w:r>
    </w:p>
    <w:p w:rsidR="00231D9E" w:rsidRDefault="00231D9E" w:rsidP="00231D9E">
      <w:pPr>
        <w:rPr>
          <w:b/>
          <w:u w:val="single"/>
        </w:rPr>
      </w:pPr>
      <w:r w:rsidRPr="000334BA">
        <w:rPr>
          <w:b/>
          <w:u w:val="single"/>
        </w:rPr>
        <w:t>Counsel</w:t>
      </w:r>
    </w:p>
    <w:p w:rsidR="00231D9E" w:rsidRPr="000334BA" w:rsidRDefault="00231D9E" w:rsidP="00231D9E">
      <w:pPr>
        <w:pStyle w:val="ListParagraph"/>
        <w:numPr>
          <w:ilvl w:val="0"/>
          <w:numId w:val="5"/>
        </w:numPr>
        <w:spacing w:after="0" w:line="240" w:lineRule="auto"/>
        <w:rPr>
          <w:b/>
          <w:u w:val="single"/>
        </w:rPr>
      </w:pPr>
      <w:r w:rsidRPr="000334BA">
        <w:rPr>
          <w:b/>
          <w:u w:val="single"/>
        </w:rPr>
        <w:t xml:space="preserve">Coverage Counsel </w:t>
      </w:r>
    </w:p>
    <w:p w:rsidR="00231D9E" w:rsidRDefault="00231D9E" w:rsidP="00231D9E">
      <w:r w:rsidRPr="000334BA">
        <w:t xml:space="preserve">Attorney retained by the insurance company or the insured to represent their respective clients’ interests in connection with an insurance claim.  Coverage counsel evaluate whether, or to what extent, a loss may be covered under an insurance policy, drafting or responding to reservation of rights letters, monitoring developments in the underlying litigation and dealing with the submission and </w:t>
      </w:r>
      <w:r w:rsidRPr="000334BA">
        <w:lastRenderedPageBreak/>
        <w:t>reimbursement of defense counsel invoices.  Coverage counsel may also represent their client in subsequent coverage litigation</w:t>
      </w:r>
      <w:r>
        <w:t>.</w:t>
      </w:r>
    </w:p>
    <w:p w:rsidR="00231D9E" w:rsidRPr="000334BA" w:rsidRDefault="00231D9E" w:rsidP="00231D9E">
      <w:pPr>
        <w:pStyle w:val="ListParagraph"/>
        <w:numPr>
          <w:ilvl w:val="0"/>
          <w:numId w:val="5"/>
        </w:numPr>
        <w:spacing w:after="0" w:line="240" w:lineRule="auto"/>
        <w:rPr>
          <w:b/>
          <w:u w:val="single"/>
        </w:rPr>
      </w:pPr>
      <w:r w:rsidRPr="000334BA">
        <w:rPr>
          <w:b/>
          <w:u w:val="single"/>
        </w:rPr>
        <w:t xml:space="preserve">Defense Counsel </w:t>
      </w:r>
    </w:p>
    <w:p w:rsidR="00231D9E" w:rsidRDefault="00231D9E" w:rsidP="00231D9E">
      <w:proofErr w:type="gramStart"/>
      <w:r w:rsidRPr="000334BA">
        <w:t>Attorney that defends an insured in litigation brought by a third party against the insured.</w:t>
      </w:r>
      <w:proofErr w:type="gramEnd"/>
      <w:r w:rsidRPr="000334BA">
        <w:t xml:space="preserve">  Defense counsel </w:t>
      </w:r>
      <w:r>
        <w:t xml:space="preserve">is usually </w:t>
      </w:r>
      <w:r w:rsidRPr="000334BA">
        <w:t xml:space="preserve">retained by the insurance company to represent the insured under insurance policies with a duty to defend.  Under duty to indemnify policies, the insured may usually retain counsel of its choice subject to consent by the insurer, such consent not to be unreasonably withheld.  In certain duty to defend situations, a </w:t>
      </w:r>
      <w:r>
        <w:t xml:space="preserve">conflict of interest may arise </w:t>
      </w:r>
      <w:r w:rsidRPr="000334BA">
        <w:t>between the insurer and insured, for example, because of certain rights the insurer reserves. In such cases, the insurer may be required to provide the insured with the right to select its own, independent counsel at the insurer’s expense.</w:t>
      </w:r>
    </w:p>
    <w:p w:rsidR="00231D9E" w:rsidRPr="000334BA" w:rsidRDefault="00231D9E" w:rsidP="00231D9E">
      <w:pPr>
        <w:pStyle w:val="ListParagraph"/>
        <w:numPr>
          <w:ilvl w:val="0"/>
          <w:numId w:val="5"/>
        </w:numPr>
        <w:spacing w:after="0" w:line="240" w:lineRule="auto"/>
        <w:rPr>
          <w:b/>
          <w:u w:val="single"/>
        </w:rPr>
      </w:pPr>
      <w:r w:rsidRPr="000334BA">
        <w:rPr>
          <w:b/>
          <w:u w:val="single"/>
        </w:rPr>
        <w:t>General Counsel</w:t>
      </w:r>
    </w:p>
    <w:p w:rsidR="00231D9E" w:rsidRDefault="00231D9E" w:rsidP="00231D9E">
      <w:r w:rsidRPr="000334BA">
        <w:t xml:space="preserve">Attorney for a company that makes sure the company is operating legally.  General </w:t>
      </w:r>
      <w:proofErr w:type="gramStart"/>
      <w:r w:rsidRPr="000334BA">
        <w:t>counsel</w:t>
      </w:r>
      <w:proofErr w:type="gramEnd"/>
      <w:r w:rsidRPr="000334BA">
        <w:t xml:space="preserve"> often works with outside counsel, such as defense, monitoring, or coverage counsel on insurance-related matters.   </w:t>
      </w:r>
    </w:p>
    <w:p w:rsidR="00231D9E" w:rsidRPr="000334BA" w:rsidRDefault="00231D9E" w:rsidP="00231D9E">
      <w:pPr>
        <w:pStyle w:val="ListParagraph"/>
        <w:numPr>
          <w:ilvl w:val="0"/>
          <w:numId w:val="5"/>
        </w:numPr>
        <w:spacing w:after="0" w:line="240" w:lineRule="auto"/>
        <w:rPr>
          <w:b/>
          <w:u w:val="single"/>
        </w:rPr>
      </w:pPr>
      <w:r w:rsidRPr="000334BA">
        <w:rPr>
          <w:b/>
          <w:u w:val="single"/>
        </w:rPr>
        <w:t>Independent Counsel (“</w:t>
      </w:r>
      <w:proofErr w:type="spellStart"/>
      <w:r w:rsidRPr="000334BA">
        <w:rPr>
          <w:b/>
          <w:u w:val="single"/>
        </w:rPr>
        <w:t>Cumis</w:t>
      </w:r>
      <w:proofErr w:type="spellEnd"/>
      <w:r w:rsidRPr="000334BA">
        <w:rPr>
          <w:b/>
          <w:u w:val="single"/>
        </w:rPr>
        <w:t>” or “Pepper” Counsel)</w:t>
      </w:r>
    </w:p>
    <w:p w:rsidR="00231D9E" w:rsidRDefault="00231D9E" w:rsidP="00231D9E">
      <w:r w:rsidRPr="000334BA">
        <w:t xml:space="preserve">Defense counsel retained by the insured because of a conflict between the </w:t>
      </w:r>
      <w:proofErr w:type="gramStart"/>
      <w:r w:rsidRPr="000334BA">
        <w:t>insurer</w:t>
      </w:r>
      <w:proofErr w:type="gramEnd"/>
      <w:r w:rsidRPr="000334BA">
        <w:t xml:space="preserve"> and insured so the insured has the right to select the defense counsel.</w:t>
      </w:r>
      <w:r>
        <w:t xml:space="preserve">  </w:t>
      </w:r>
      <w:r w:rsidRPr="000334BA">
        <w:t xml:space="preserve">Defense counsel retained by the insured because of a conflict between the </w:t>
      </w:r>
      <w:proofErr w:type="gramStart"/>
      <w:r w:rsidRPr="000334BA">
        <w:t>insurer</w:t>
      </w:r>
      <w:proofErr w:type="gramEnd"/>
      <w:r w:rsidRPr="000334BA">
        <w:t xml:space="preserve"> and insured so the insured has the right to select independent defense counsel at the insurer’s expense</w:t>
      </w:r>
      <w:r>
        <w:t>.</w:t>
      </w:r>
    </w:p>
    <w:p w:rsidR="00231D9E" w:rsidRPr="000334BA" w:rsidRDefault="00231D9E" w:rsidP="00231D9E">
      <w:pPr>
        <w:pStyle w:val="ListParagraph"/>
        <w:numPr>
          <w:ilvl w:val="0"/>
          <w:numId w:val="5"/>
        </w:numPr>
        <w:spacing w:after="0" w:line="240" w:lineRule="auto"/>
        <w:rPr>
          <w:b/>
          <w:u w:val="single"/>
        </w:rPr>
      </w:pPr>
      <w:r w:rsidRPr="000334BA">
        <w:rPr>
          <w:b/>
          <w:u w:val="single"/>
        </w:rPr>
        <w:t>Monitoring Counsel</w:t>
      </w:r>
    </w:p>
    <w:p w:rsidR="00231D9E" w:rsidRPr="000334BA" w:rsidRDefault="00231D9E" w:rsidP="00231D9E">
      <w:r w:rsidRPr="000334BA">
        <w:t>Attorney retained by the insurer to monitor the litigation between the policyholder and a third party.  Monitoring counsel review underlying case developments, communicate with defense counsel, and report back to the insurer.  Monitoring counsel may also be coverage counsel.</w:t>
      </w:r>
    </w:p>
    <w:p w:rsidR="00231D9E" w:rsidRDefault="00231D9E" w:rsidP="00231D9E">
      <w:pPr>
        <w:rPr>
          <w:b/>
          <w:u w:val="single"/>
        </w:rPr>
      </w:pPr>
      <w:r w:rsidRPr="000334BA">
        <w:rPr>
          <w:b/>
          <w:u w:val="single"/>
        </w:rPr>
        <w:t>Insured</w:t>
      </w:r>
    </w:p>
    <w:p w:rsidR="00231D9E" w:rsidRPr="000334BA" w:rsidRDefault="00231D9E" w:rsidP="00231D9E">
      <w:pPr>
        <w:pStyle w:val="ListParagraph"/>
        <w:numPr>
          <w:ilvl w:val="0"/>
          <w:numId w:val="5"/>
        </w:numPr>
        <w:spacing w:after="0" w:line="240" w:lineRule="auto"/>
        <w:rPr>
          <w:b/>
          <w:u w:val="single"/>
        </w:rPr>
      </w:pPr>
      <w:r w:rsidRPr="000334BA">
        <w:rPr>
          <w:b/>
          <w:u w:val="single"/>
        </w:rPr>
        <w:t>Additional Insured</w:t>
      </w:r>
    </w:p>
    <w:p w:rsidR="00231D9E" w:rsidRDefault="00231D9E" w:rsidP="00231D9E">
      <w:r w:rsidRPr="000334BA">
        <w:t>Person or entity added to policy by additional insured endorsement or through “blanket” (or broad) endorsement that refers to a contractual obligation to add the person to the insurance policy as an additional insured.</w:t>
      </w:r>
    </w:p>
    <w:p w:rsidR="00231D9E" w:rsidRPr="000334BA" w:rsidRDefault="00231D9E" w:rsidP="00231D9E">
      <w:pPr>
        <w:pStyle w:val="ListParagraph"/>
        <w:numPr>
          <w:ilvl w:val="0"/>
          <w:numId w:val="5"/>
        </w:numPr>
        <w:spacing w:after="0" w:line="240" w:lineRule="auto"/>
        <w:rPr>
          <w:b/>
        </w:rPr>
      </w:pPr>
      <w:r w:rsidRPr="000334BA">
        <w:rPr>
          <w:b/>
          <w:u w:val="single"/>
        </w:rPr>
        <w:t>Insured</w:t>
      </w:r>
    </w:p>
    <w:p w:rsidR="00231D9E" w:rsidRDefault="00231D9E" w:rsidP="00231D9E">
      <w:r w:rsidRPr="000334BA">
        <w:t>Person or entity that qualifies as an insured under the insurance policies definition of “insured” or under the policy’s “Who is Insured” section.</w:t>
      </w:r>
    </w:p>
    <w:p w:rsidR="00231D9E" w:rsidRPr="000334BA" w:rsidRDefault="00231D9E" w:rsidP="00231D9E">
      <w:pPr>
        <w:pStyle w:val="ListParagraph"/>
        <w:numPr>
          <w:ilvl w:val="0"/>
          <w:numId w:val="5"/>
        </w:numPr>
        <w:spacing w:after="0" w:line="240" w:lineRule="auto"/>
        <w:rPr>
          <w:b/>
        </w:rPr>
      </w:pPr>
      <w:r w:rsidRPr="000334BA">
        <w:rPr>
          <w:b/>
          <w:u w:val="single"/>
        </w:rPr>
        <w:t>Named Insured</w:t>
      </w:r>
    </w:p>
    <w:p w:rsidR="00231D9E" w:rsidRDefault="00231D9E" w:rsidP="00231D9E">
      <w:r w:rsidRPr="000334BA">
        <w:t>The person or entity named in the insurance policy on the Declarations page or by endorsement, and usually referred to in the policy as “you” or “your.”</w:t>
      </w:r>
    </w:p>
    <w:p w:rsidR="00231D9E" w:rsidRPr="000334BA" w:rsidRDefault="00231D9E" w:rsidP="00231D9E">
      <w:pPr>
        <w:pStyle w:val="ListParagraph"/>
        <w:numPr>
          <w:ilvl w:val="0"/>
          <w:numId w:val="5"/>
        </w:numPr>
        <w:spacing w:after="0" w:line="240" w:lineRule="auto"/>
        <w:rPr>
          <w:b/>
        </w:rPr>
      </w:pPr>
      <w:r w:rsidRPr="000334BA">
        <w:rPr>
          <w:b/>
          <w:u w:val="single"/>
        </w:rPr>
        <w:t>Policyholder</w:t>
      </w:r>
    </w:p>
    <w:p w:rsidR="00231D9E" w:rsidRPr="000334BA" w:rsidRDefault="00231D9E" w:rsidP="00231D9E">
      <w:r w:rsidRPr="000334BA">
        <w:t xml:space="preserve">Term used to refer to the person or entity that is the named insured, i.e., the holder of the policy. </w:t>
      </w:r>
    </w:p>
    <w:p w:rsidR="00231D9E" w:rsidRPr="000334BA" w:rsidRDefault="00231D9E" w:rsidP="00231D9E">
      <w:r w:rsidRPr="000334BA">
        <w:rPr>
          <w:b/>
          <w:u w:val="single"/>
        </w:rPr>
        <w:t>Producer</w:t>
      </w:r>
    </w:p>
    <w:p w:rsidR="00231D9E" w:rsidRPr="000334BA" w:rsidRDefault="00231D9E" w:rsidP="00231D9E">
      <w:pPr>
        <w:rPr>
          <w:color w:val="000000"/>
          <w:shd w:val="clear" w:color="auto" w:fill="FFFFFF"/>
        </w:rPr>
      </w:pPr>
      <w:r w:rsidRPr="000334BA">
        <w:rPr>
          <w:color w:val="000000"/>
          <w:shd w:val="clear" w:color="auto" w:fill="FFFFFF"/>
        </w:rPr>
        <w:lastRenderedPageBreak/>
        <w:t>An agent, broker, or other insurance representative who sells, solicits, or negotiates insurance policies.</w:t>
      </w:r>
    </w:p>
    <w:p w:rsidR="00231D9E" w:rsidRPr="000334BA" w:rsidRDefault="00231D9E" w:rsidP="00231D9E">
      <w:pPr>
        <w:rPr>
          <w:b/>
          <w:u w:val="single"/>
        </w:rPr>
      </w:pPr>
      <w:r w:rsidRPr="000334BA">
        <w:rPr>
          <w:b/>
          <w:u w:val="single"/>
        </w:rPr>
        <w:t>Risk Manager</w:t>
      </w:r>
    </w:p>
    <w:p w:rsidR="00231D9E" w:rsidRPr="000334BA" w:rsidRDefault="00231D9E" w:rsidP="00231D9E">
      <w:proofErr w:type="gramStart"/>
      <w:r w:rsidRPr="000334BA">
        <w:rPr>
          <w:color w:val="000000"/>
          <w:shd w:val="clear" w:color="auto" w:fill="FFFFFF"/>
        </w:rPr>
        <w:t>Person whose responsibility is to manage the task of evaluating and minimizing exposure to loss and risks.</w:t>
      </w:r>
      <w:proofErr w:type="gramEnd"/>
      <w:r w:rsidRPr="000334BA">
        <w:rPr>
          <w:color w:val="000000"/>
          <w:shd w:val="clear" w:color="auto" w:fill="FFFFFF"/>
        </w:rPr>
        <w:t xml:space="preserve">  Policyholders transfer some of the costs of risks their company faces to insurers by purchasing insurance policies.  A Risk Manager’s expertise across multiple coverage lines can vary greatly depending on the company’s size and industry.  Depending on the scope and breadth of the Risk Manager’s knowledge, some companies rely heavily on their brokers and/or coverage counsel when handling certain specialized coverages.  Some companies do not have a Risk Manager and instead may rely on their legal or finance/treasury departments to evaluate risk and purchase insurance. </w:t>
      </w:r>
    </w:p>
    <w:p w:rsidR="00231D9E" w:rsidRPr="000334BA" w:rsidRDefault="00231D9E" w:rsidP="00231D9E">
      <w:pPr>
        <w:rPr>
          <w:b/>
          <w:u w:val="single"/>
        </w:rPr>
      </w:pPr>
      <w:r w:rsidRPr="000334BA">
        <w:rPr>
          <w:b/>
          <w:u w:val="single"/>
        </w:rPr>
        <w:t>Underwriter</w:t>
      </w:r>
    </w:p>
    <w:p w:rsidR="00231D9E" w:rsidRPr="000334BA" w:rsidRDefault="00231D9E" w:rsidP="00231D9E">
      <w:pPr>
        <w:rPr>
          <w:color w:val="000000"/>
          <w:shd w:val="clear" w:color="auto" w:fill="FFFFFF"/>
        </w:rPr>
      </w:pPr>
      <w:proofErr w:type="gramStart"/>
      <w:r w:rsidRPr="000334BA">
        <w:t>One</w:t>
      </w:r>
      <w:r w:rsidRPr="000334BA">
        <w:rPr>
          <w:color w:val="000000"/>
          <w:shd w:val="clear" w:color="auto" w:fill="FFFFFF"/>
        </w:rPr>
        <w:t xml:space="preserve"> that evaluates the risks of insuring a particular person, company or asset and uses that information to set pricing and other terms in an insurance policy.</w:t>
      </w:r>
      <w:proofErr w:type="gramEnd"/>
      <w:r w:rsidRPr="000334BA">
        <w:rPr>
          <w:color w:val="000000"/>
          <w:shd w:val="clear" w:color="auto" w:fill="FFFFFF"/>
        </w:rPr>
        <w:t xml:space="preserve">  </w:t>
      </w:r>
    </w:p>
    <w:p w:rsidR="00231D9E" w:rsidRDefault="00231D9E" w:rsidP="00231D9E">
      <w:pPr>
        <w:jc w:val="center"/>
        <w:rPr>
          <w:b/>
        </w:rPr>
      </w:pPr>
      <w:r>
        <w:rPr>
          <w:b/>
        </w:rPr>
        <w:t>COMMON PHRASES AND TERMS</w:t>
      </w:r>
    </w:p>
    <w:p w:rsidR="00231D9E" w:rsidRPr="000334BA" w:rsidRDefault="00231D9E" w:rsidP="00231D9E">
      <w:pPr>
        <w:rPr>
          <w:b/>
          <w:u w:val="single"/>
        </w:rPr>
      </w:pPr>
      <w:r w:rsidRPr="000334BA">
        <w:rPr>
          <w:b/>
          <w:u w:val="single"/>
        </w:rPr>
        <w:t>Allocation</w:t>
      </w:r>
    </w:p>
    <w:p w:rsidR="00231D9E" w:rsidRPr="000334BA" w:rsidRDefault="00231D9E" w:rsidP="00231D9E">
      <w:proofErr w:type="gramStart"/>
      <w:r w:rsidRPr="000334BA">
        <w:t>A process by which a loss is divided or apportioned in some way.</w:t>
      </w:r>
      <w:proofErr w:type="gramEnd"/>
      <w:r w:rsidRPr="000334BA">
        <w:t xml:space="preserve">  For example, if a loss implicates coverage under several, consecutive policies, </w:t>
      </w:r>
      <w:proofErr w:type="gramStart"/>
      <w:r w:rsidRPr="000334BA">
        <w:t>the</w:t>
      </w:r>
      <w:proofErr w:type="gramEnd"/>
      <w:r w:rsidRPr="000334BA">
        <w:t xml:space="preserve"> total amount of the loss must be apportioned or allocated among those various policies in some manner.  Similarly, in the event a particular loss is only partially covered, (due to either a combination of covered and uncovered allegations or insured and uninsured entities or individuals) portions of that loss must be divided or allocated into its covered and uncovered aspects. </w:t>
      </w:r>
    </w:p>
    <w:p w:rsidR="00231D9E" w:rsidRPr="000334BA" w:rsidRDefault="00231D9E" w:rsidP="00231D9E">
      <w:r w:rsidRPr="000334BA">
        <w:rPr>
          <w:b/>
          <w:u w:val="single"/>
        </w:rPr>
        <w:t>Attachment</w:t>
      </w:r>
    </w:p>
    <w:p w:rsidR="00231D9E" w:rsidRPr="000334BA" w:rsidRDefault="00231D9E" w:rsidP="00231D9E">
      <w:r w:rsidRPr="000334BA">
        <w:t>The point at which an excess policy must start to pay (assuming it otherwise covers the claim).  For example, an excess policy may have limits of $5 million excess of a $1 million scheduled primary policy and may provide that it pays after there has been payment by the underlying insurer or insured of the scheduled underlying limits of liability.</w:t>
      </w:r>
    </w:p>
    <w:p w:rsidR="00231D9E" w:rsidRPr="000334BA" w:rsidRDefault="00231D9E" w:rsidP="00231D9E">
      <w:pPr>
        <w:rPr>
          <w:b/>
          <w:u w:val="single"/>
        </w:rPr>
      </w:pPr>
      <w:r w:rsidRPr="000334BA">
        <w:rPr>
          <w:b/>
          <w:u w:val="single"/>
        </w:rPr>
        <w:t>Buy Back</w:t>
      </w:r>
    </w:p>
    <w:p w:rsidR="00231D9E" w:rsidRPr="000334BA" w:rsidRDefault="00231D9E" w:rsidP="00231D9E">
      <w:proofErr w:type="gramStart"/>
      <w:r w:rsidRPr="000334BA">
        <w:t>A settlement or contract arrangement whereby the policyholder allows its liability policy to be voided in exchange for payment of an agreed sum by the insurer.</w:t>
      </w:r>
      <w:proofErr w:type="gramEnd"/>
      <w:r w:rsidRPr="000334BA">
        <w:t xml:space="preserve">  Once the policy is voided, the insurer will have no defense or indemnity obligations for any and all past, present, and future claims.  However, this type of agreement may not prevent claims by other insurers for contribution, or claims by third party claimants, or claims by other insureds under the policy that the policyholder cannot bind.</w:t>
      </w:r>
    </w:p>
    <w:p w:rsidR="00231D9E" w:rsidRPr="000334BA" w:rsidRDefault="00231D9E" w:rsidP="00231D9E">
      <w:pPr>
        <w:rPr>
          <w:b/>
          <w:u w:val="single"/>
        </w:rPr>
      </w:pPr>
      <w:r w:rsidRPr="000334BA">
        <w:rPr>
          <w:b/>
          <w:u w:val="single"/>
        </w:rPr>
        <w:t>Claims Made Policy</w:t>
      </w:r>
    </w:p>
    <w:p w:rsidR="00231D9E" w:rsidRPr="000334BA" w:rsidRDefault="00231D9E" w:rsidP="00231D9E">
      <w:r w:rsidRPr="000334BA">
        <w:lastRenderedPageBreak/>
        <w:t xml:space="preserve">An insurance policy that applies when a claim is first made against the insured and/or reported (different policies provide different requirements), rather than when the underlying wrongful acts, accident, or resulting injuries or damages take place.  A “claims-made” policy provides retroactive coverage and no prospective coverage, while an “occurrence” policy’s coverage is linked to when an occurrence or injury/damage takes place which may be sometime in the future.  </w:t>
      </w:r>
      <w:r w:rsidRPr="000334BA">
        <w:rPr>
          <w:i/>
        </w:rPr>
        <w:t>See Prodigy Comm. Corp. v. Agric. Excess &amp; Surplus Ins. Co.</w:t>
      </w:r>
      <w:r w:rsidRPr="000334BA">
        <w:t xml:space="preserve">, 288 S.W.3d 374, 378-79 (Tex. 2009); </w:t>
      </w:r>
      <w:r w:rsidRPr="000334BA">
        <w:rPr>
          <w:i/>
          <w:iCs/>
        </w:rPr>
        <w:t xml:space="preserve">Gilliam v. American </w:t>
      </w:r>
      <w:proofErr w:type="spellStart"/>
      <w:proofErr w:type="gramStart"/>
      <w:r w:rsidRPr="000334BA">
        <w:rPr>
          <w:i/>
          <w:iCs/>
        </w:rPr>
        <w:t>Cas</w:t>
      </w:r>
      <w:proofErr w:type="spellEnd"/>
      <w:proofErr w:type="gramEnd"/>
      <w:r w:rsidRPr="000334BA">
        <w:rPr>
          <w:i/>
          <w:iCs/>
        </w:rPr>
        <w:t xml:space="preserve">. Co. </w:t>
      </w:r>
      <w:proofErr w:type="gramStart"/>
      <w:r w:rsidRPr="000334BA">
        <w:rPr>
          <w:i/>
          <w:iCs/>
        </w:rPr>
        <w:t>of Reading, Penn.</w:t>
      </w:r>
      <w:r w:rsidRPr="000334BA">
        <w:t xml:space="preserve">, 735 </w:t>
      </w:r>
      <w:proofErr w:type="spellStart"/>
      <w:r w:rsidRPr="000334BA">
        <w:t>F.Supp</w:t>
      </w:r>
      <w:proofErr w:type="spellEnd"/>
      <w:proofErr w:type="gramEnd"/>
      <w:r w:rsidRPr="000334BA">
        <w:t xml:space="preserve">. </w:t>
      </w:r>
      <w:proofErr w:type="gramStart"/>
      <w:r w:rsidRPr="000334BA">
        <w:t>345, 349, fn. 4 (N.D.</w:t>
      </w:r>
      <w:r>
        <w:t xml:space="preserve"> </w:t>
      </w:r>
      <w:r w:rsidRPr="000334BA">
        <w:t>Cal. 1990).</w:t>
      </w:r>
      <w:proofErr w:type="gramEnd"/>
    </w:p>
    <w:p w:rsidR="00231D9E" w:rsidRPr="000334BA" w:rsidRDefault="00231D9E" w:rsidP="00231D9E">
      <w:pPr>
        <w:rPr>
          <w:b/>
          <w:u w:val="single"/>
        </w:rPr>
      </w:pPr>
      <w:r w:rsidRPr="000334BA">
        <w:rPr>
          <w:b/>
          <w:u w:val="single"/>
        </w:rPr>
        <w:t>Cooperation Clause</w:t>
      </w:r>
    </w:p>
    <w:p w:rsidR="00231D9E" w:rsidRPr="000334BA" w:rsidRDefault="00231D9E" w:rsidP="00231D9E">
      <w:r w:rsidRPr="000334BA">
        <w:t xml:space="preserve">A provision in the Conditions section of the insurance policies requiring that the insured: a) cooperate with the insurer in the investigation, defense, and settlement of any claim or suit, and b) assist the insurer in enforcing rights against other parties who also may be liable for the claim or suit.  The purpose of the cooperation clause is to protect the insurer in its defense of suits by obligating the insured not to intentionally and deliberately take any action which would adversely affect the insurer’s defense, settlement or other handling of the claim.  </w:t>
      </w:r>
      <w:proofErr w:type="gramStart"/>
      <w:r w:rsidRPr="000334BA">
        <w:rPr>
          <w:i/>
        </w:rPr>
        <w:t>See, e.g., Am. Policyholder's Ins. Co. v. Baker</w:t>
      </w:r>
      <w:r w:rsidRPr="000334BA">
        <w:t xml:space="preserve">, 409 A.2d 1346, 1348 (N.H. 1979); </w:t>
      </w:r>
      <w:r w:rsidRPr="000334BA">
        <w:rPr>
          <w:i/>
        </w:rPr>
        <w:t xml:space="preserve">Truck Ins. Exch. v. </w:t>
      </w:r>
      <w:proofErr w:type="spellStart"/>
      <w:r w:rsidRPr="000334BA">
        <w:rPr>
          <w:i/>
        </w:rPr>
        <w:t>Unigard</w:t>
      </w:r>
      <w:proofErr w:type="spellEnd"/>
      <w:r w:rsidRPr="000334BA">
        <w:rPr>
          <w:i/>
        </w:rPr>
        <w:t xml:space="preserve"> Ins. Co</w:t>
      </w:r>
      <w:r w:rsidRPr="000334BA">
        <w:t>., 79 Cal.App.4th 966, 979 (2000).</w:t>
      </w:r>
      <w:proofErr w:type="gramEnd"/>
    </w:p>
    <w:p w:rsidR="00231D9E" w:rsidRPr="000334BA" w:rsidRDefault="00231D9E" w:rsidP="00231D9E">
      <w:pPr>
        <w:rPr>
          <w:b/>
          <w:u w:val="single"/>
        </w:rPr>
      </w:pPr>
      <w:proofErr w:type="spellStart"/>
      <w:r w:rsidRPr="000334BA">
        <w:rPr>
          <w:b/>
          <w:u w:val="single"/>
        </w:rPr>
        <w:t>Deemer</w:t>
      </w:r>
      <w:proofErr w:type="spellEnd"/>
      <w:r w:rsidRPr="000334BA">
        <w:rPr>
          <w:b/>
          <w:u w:val="single"/>
        </w:rPr>
        <w:t xml:space="preserve"> or Batch Clause</w:t>
      </w:r>
    </w:p>
    <w:p w:rsidR="00231D9E" w:rsidRPr="000334BA" w:rsidRDefault="00231D9E" w:rsidP="00231D9E">
      <w:r w:rsidRPr="000334BA">
        <w:t xml:space="preserve">A provision contained in liability policies specifying the manner in which either: a) separate, but similar claims, or b) damages implicating multiple policy periods, will be covered.  </w:t>
      </w:r>
      <w:r w:rsidRPr="000334BA">
        <w:rPr>
          <w:i/>
          <w:iCs/>
        </w:rPr>
        <w:t>See, e.g.,</w:t>
      </w:r>
      <w:r w:rsidRPr="000334BA">
        <w:t xml:space="preserve"> Barry R. </w:t>
      </w:r>
      <w:proofErr w:type="spellStart"/>
      <w:r w:rsidRPr="000334BA">
        <w:t>Ostrager</w:t>
      </w:r>
      <w:proofErr w:type="spellEnd"/>
      <w:r w:rsidRPr="000334BA">
        <w:t xml:space="preserve"> and Thomas R. Newman, Handbook on Ins. Coverage Disputes § 9.03[c] (12th ed. 2004); </w:t>
      </w:r>
      <w:r w:rsidRPr="000334BA">
        <w:rPr>
          <w:i/>
        </w:rPr>
        <w:t>Metropolitan Life Insurance Co. v. Aetna Casualty and Surety Co</w:t>
      </w:r>
      <w:r w:rsidRPr="000334BA">
        <w:t>., 765 A.2d 891, 898-900 (Conn. 2001).  For example, a “</w:t>
      </w:r>
      <w:proofErr w:type="spellStart"/>
      <w:r w:rsidRPr="000334BA">
        <w:t>deemer</w:t>
      </w:r>
      <w:proofErr w:type="spellEnd"/>
      <w:r w:rsidRPr="000334BA">
        <w:t xml:space="preserve"> clause” might provide that multiple, distinct “bodily injury” claims arising out of one of the insured’s products will be covered under the policy in effect when the first such claim is asserted, and may also specify a unique limit of coverage applicable to all such claims.</w:t>
      </w:r>
    </w:p>
    <w:p w:rsidR="00231D9E" w:rsidRPr="000334BA" w:rsidRDefault="00231D9E" w:rsidP="00231D9E">
      <w:r w:rsidRPr="000334BA">
        <w:rPr>
          <w:b/>
          <w:u w:val="single"/>
        </w:rPr>
        <w:t>Deductible</w:t>
      </w:r>
    </w:p>
    <w:p w:rsidR="00231D9E" w:rsidRPr="000334BA" w:rsidRDefault="00231D9E" w:rsidP="00231D9E">
      <w:r w:rsidRPr="000334BA">
        <w:t xml:space="preserve">A deductible is the amount of expenses that must be paid out of pocket before an insurer will pay any expenses.  </w:t>
      </w:r>
      <w:r w:rsidRPr="000334BA">
        <w:rPr>
          <w:i/>
          <w:iCs/>
        </w:rPr>
        <w:t>Zurich Specialties London, Ltd. v. Century Sur. Co.</w:t>
      </w:r>
      <w:r w:rsidRPr="000334BA">
        <w:t>, G042920, 2011 WL 4398278 (Cal. Ct. App. Sept. 22, 2011).</w:t>
      </w:r>
    </w:p>
    <w:p w:rsidR="00231D9E" w:rsidRPr="000334BA" w:rsidRDefault="00231D9E" w:rsidP="00231D9E">
      <w:pPr>
        <w:rPr>
          <w:b/>
          <w:u w:val="single"/>
        </w:rPr>
      </w:pPr>
      <w:r w:rsidRPr="000334BA">
        <w:rPr>
          <w:b/>
          <w:u w:val="single"/>
        </w:rPr>
        <w:t>Duty of Good Faith and Fair Dealing</w:t>
      </w:r>
    </w:p>
    <w:p w:rsidR="00231D9E" w:rsidRPr="000334BA" w:rsidRDefault="00231D9E" w:rsidP="00231D9E">
      <w:r w:rsidRPr="000334BA">
        <w:t xml:space="preserve">Implied in all insurance policies is a covenant of good faith and fair dealing which requires both the insurer and insured to act in good faith, deal fairly, and “refrain from doing anything to injure the right of the other to receive the benefits of the agreement.”  </w:t>
      </w:r>
      <w:r w:rsidRPr="007E642A">
        <w:rPr>
          <w:i/>
        </w:rPr>
        <w:t xml:space="preserve">See </w:t>
      </w:r>
      <w:r w:rsidRPr="000334BA">
        <w:rPr>
          <w:i/>
        </w:rPr>
        <w:t>Davis v. Blue Cross of N. California</w:t>
      </w:r>
      <w:r w:rsidRPr="000334BA">
        <w:t xml:space="preserve">, </w:t>
      </w:r>
      <w:proofErr w:type="gramStart"/>
      <w:r w:rsidRPr="000334BA">
        <w:t>600 P.2d 1060, 1065</w:t>
      </w:r>
      <w:proofErr w:type="gramEnd"/>
      <w:r w:rsidRPr="000334BA">
        <w:t xml:space="preserve"> (Cal. 1979).  The duty is a two way street, requiring both parties to the contract to deal fairly with each other.  </w:t>
      </w:r>
      <w:proofErr w:type="gramStart"/>
      <w:r w:rsidRPr="000334BA">
        <w:rPr>
          <w:i/>
        </w:rPr>
        <w:t>See California Shoppers, Inc. v. Royal Globe Ins. Co.</w:t>
      </w:r>
      <w:r w:rsidRPr="000334BA">
        <w:t>, 175 Cal.App.3d 1, 55 (1985).</w:t>
      </w:r>
      <w:proofErr w:type="gramEnd"/>
      <w:r w:rsidRPr="000334BA">
        <w:t xml:space="preserve">  The precise nature and extent of the duties imposed by these implied promises vary, but, as a general matter, include: 1) the insurer’s duty to promptly pay undisputed claims, 2) the insurer’s duty to </w:t>
      </w:r>
      <w:r w:rsidRPr="000334BA">
        <w:lastRenderedPageBreak/>
        <w:t>adequately defend a suit against the insured, and 3) the insurer’s duty settle a claim or suit within the policy limits, if possible.</w:t>
      </w:r>
    </w:p>
    <w:p w:rsidR="00231D9E" w:rsidRPr="000334BA" w:rsidRDefault="00231D9E" w:rsidP="00231D9E">
      <w:pPr>
        <w:rPr>
          <w:b/>
          <w:u w:val="single"/>
        </w:rPr>
      </w:pPr>
      <w:r w:rsidRPr="000334BA">
        <w:rPr>
          <w:b/>
          <w:u w:val="single"/>
        </w:rPr>
        <w:t>Duty to Defend</w:t>
      </w:r>
    </w:p>
    <w:p w:rsidR="00231D9E" w:rsidRPr="000334BA" w:rsidRDefault="00231D9E" w:rsidP="00231D9E">
      <w:r w:rsidRPr="000334BA">
        <w:t xml:space="preserve">A liability policy contains two duties: 1) a duty to defend the insured, and 2) a duty to indemnify the insured.  The duty to defend is broader than the duty to indemnify.  There is a duty to defend whenever the allegations in a complaint against the insured would, if proved, result in a “possibility of recovery that falls under the terms and conditions of the insurance policy.”  </w:t>
      </w:r>
      <w:r w:rsidRPr="000334BA">
        <w:rPr>
          <w:i/>
        </w:rPr>
        <w:t>Peace ex rel. Lerner v. Nw. Nat. Ins. Co.</w:t>
      </w:r>
      <w:r w:rsidRPr="000334BA">
        <w:t xml:space="preserve">, 596 N.W.2d 429, 450 (Wis. 1999); </w:t>
      </w:r>
      <w:r w:rsidRPr="000334BA">
        <w:rPr>
          <w:i/>
        </w:rPr>
        <w:t xml:space="preserve">Montrose Chem. Corp. v. Super. </w:t>
      </w:r>
      <w:proofErr w:type="gramStart"/>
      <w:r w:rsidRPr="000334BA">
        <w:rPr>
          <w:i/>
        </w:rPr>
        <w:t>Ct.</w:t>
      </w:r>
      <w:r w:rsidRPr="000334BA">
        <w:t>, 6 Cal.4th 287, 300 (1993).</w:t>
      </w:r>
      <w:proofErr w:type="gramEnd"/>
      <w:r w:rsidRPr="000334BA">
        <w:rPr>
          <w:i/>
        </w:rPr>
        <w:t xml:space="preserve">  </w:t>
      </w:r>
      <w:r w:rsidRPr="000334BA">
        <w:t xml:space="preserve">The duty to defend exists regardless of whether the allegations against the insured are meritorious. Furthermore, a duty to defend an entire action can be triggered even when only one of multiple counts against the insured are covered.  In most states, where there is a duty to defend one claim in the lawsuit, there is a duty to defend the insured against the entire action.  </w:t>
      </w:r>
      <w:r w:rsidRPr="000334BA">
        <w:rPr>
          <w:i/>
        </w:rPr>
        <w:t xml:space="preserve">See Buss v. Super. </w:t>
      </w:r>
      <w:proofErr w:type="gramStart"/>
      <w:r w:rsidRPr="000334BA">
        <w:rPr>
          <w:i/>
        </w:rPr>
        <w:t>Ct.</w:t>
      </w:r>
      <w:r w:rsidRPr="000334BA">
        <w:t>, 16 Cal.4th 35, 48 (1977)</w:t>
      </w:r>
      <w:r>
        <w:t>.</w:t>
      </w:r>
      <w:proofErr w:type="gramEnd"/>
    </w:p>
    <w:p w:rsidR="00231D9E" w:rsidRPr="000334BA" w:rsidRDefault="00231D9E" w:rsidP="00231D9E">
      <w:pPr>
        <w:pStyle w:val="ListParagraph"/>
        <w:numPr>
          <w:ilvl w:val="0"/>
          <w:numId w:val="6"/>
        </w:numPr>
        <w:spacing w:after="0" w:line="240" w:lineRule="auto"/>
      </w:pPr>
      <w:r w:rsidRPr="000334BA">
        <w:rPr>
          <w:b/>
          <w:u w:val="single"/>
        </w:rPr>
        <w:t>“Four Corners” or “Eight Corners”</w:t>
      </w:r>
    </w:p>
    <w:p w:rsidR="00231D9E" w:rsidRPr="000334BA" w:rsidRDefault="00231D9E" w:rsidP="00231D9E">
      <w:r w:rsidRPr="000334BA">
        <w:t xml:space="preserve">In many states, the duty to defend is based on a comparison of the insurance policy provisions and limited to the allegations in the complaint.  This is referred to as either the “four corners” (referring to the complaint) or the “eight corners” (referring to the complaint and policy) approach.  Evidence extrinsic to the policy and complaint cannot be considered.  </w:t>
      </w:r>
      <w:r w:rsidRPr="000334BA">
        <w:rPr>
          <w:i/>
        </w:rPr>
        <w:t xml:space="preserve">Ledford v. </w:t>
      </w:r>
      <w:proofErr w:type="spellStart"/>
      <w:r w:rsidRPr="000334BA">
        <w:rPr>
          <w:i/>
        </w:rPr>
        <w:t>Gutoski</w:t>
      </w:r>
      <w:proofErr w:type="spellEnd"/>
      <w:r w:rsidRPr="000334BA">
        <w:t xml:space="preserve">, </w:t>
      </w:r>
      <w:proofErr w:type="gramStart"/>
      <w:r w:rsidRPr="000334BA">
        <w:t>877 P.2d 80, 82-83 (Ore. 1994)</w:t>
      </w:r>
      <w:proofErr w:type="gramEnd"/>
      <w:r>
        <w:t>.</w:t>
      </w:r>
    </w:p>
    <w:p w:rsidR="00231D9E" w:rsidRPr="000334BA" w:rsidRDefault="00231D9E" w:rsidP="00231D9E">
      <w:pPr>
        <w:pStyle w:val="ListParagraph"/>
        <w:numPr>
          <w:ilvl w:val="0"/>
          <w:numId w:val="6"/>
        </w:numPr>
        <w:spacing w:after="0" w:line="240" w:lineRule="auto"/>
      </w:pPr>
      <w:r w:rsidRPr="000334BA">
        <w:rPr>
          <w:b/>
          <w:u w:val="single"/>
        </w:rPr>
        <w:t>Extrinsic Evidence</w:t>
      </w:r>
    </w:p>
    <w:p w:rsidR="00231D9E" w:rsidRPr="000334BA" w:rsidRDefault="00231D9E" w:rsidP="00231D9E">
      <w:pPr>
        <w:rPr>
          <w:i/>
        </w:rPr>
      </w:pPr>
      <w:r w:rsidRPr="000334BA">
        <w:t>In some states, the duty to defend also includes a reasonable investigation and consideration of informa</w:t>
      </w:r>
      <w:r>
        <w:t>t</w:t>
      </w:r>
      <w:r w:rsidRPr="000334BA">
        <w:t xml:space="preserve">ion outside of the complaint.  </w:t>
      </w:r>
      <w:proofErr w:type="gramStart"/>
      <w:r w:rsidRPr="000334BA">
        <w:rPr>
          <w:i/>
        </w:rPr>
        <w:t>See Montrose Chem. Corp. v. Super.</w:t>
      </w:r>
      <w:proofErr w:type="gramEnd"/>
      <w:r w:rsidRPr="000334BA">
        <w:rPr>
          <w:i/>
        </w:rPr>
        <w:t xml:space="preserve"> </w:t>
      </w:r>
      <w:proofErr w:type="gramStart"/>
      <w:r w:rsidRPr="000334BA">
        <w:rPr>
          <w:i/>
        </w:rPr>
        <w:t>Ct.</w:t>
      </w:r>
      <w:r w:rsidRPr="000334BA">
        <w:t>, 6 Cal.4th 287, 300 (1993).</w:t>
      </w:r>
      <w:proofErr w:type="gramEnd"/>
      <w:r w:rsidRPr="000334BA">
        <w:rPr>
          <w:i/>
        </w:rPr>
        <w:t xml:space="preserve">  </w:t>
      </w:r>
    </w:p>
    <w:p w:rsidR="00231D9E" w:rsidRPr="000334BA" w:rsidRDefault="00231D9E" w:rsidP="00231D9E">
      <w:r w:rsidRPr="000334BA">
        <w:rPr>
          <w:b/>
          <w:u w:val="single"/>
        </w:rPr>
        <w:t>Duty to Indemnify</w:t>
      </w:r>
    </w:p>
    <w:p w:rsidR="00231D9E" w:rsidRPr="000334BA" w:rsidRDefault="00231D9E" w:rsidP="00231D9E">
      <w:r w:rsidRPr="000334BA">
        <w:t xml:space="preserve">An insurer’s duty to indemnify is a separate, and narrower, duty than the duty to defend.  The duty to indemnify arises only when the insured has been held legally obligated to pay damages that are actually covered by the policy.  </w:t>
      </w:r>
      <w:proofErr w:type="gramStart"/>
      <w:r w:rsidRPr="000334BA">
        <w:rPr>
          <w:i/>
        </w:rPr>
        <w:t xml:space="preserve">See </w:t>
      </w:r>
      <w:r w:rsidRPr="000334BA">
        <w:rPr>
          <w:i/>
          <w:iCs/>
        </w:rPr>
        <w:t xml:space="preserve">Travelers Insurance Co. v. </w:t>
      </w:r>
      <w:proofErr w:type="spellStart"/>
      <w:r w:rsidRPr="000334BA">
        <w:rPr>
          <w:i/>
          <w:iCs/>
        </w:rPr>
        <w:t>Eljer</w:t>
      </w:r>
      <w:proofErr w:type="spellEnd"/>
      <w:r w:rsidRPr="000334BA">
        <w:rPr>
          <w:i/>
          <w:iCs/>
        </w:rPr>
        <w:t xml:space="preserve"> Manufacturing, Inc.,</w:t>
      </w:r>
      <w:r w:rsidRPr="000334BA">
        <w:t xml:space="preserve"> 757 N.E.2d 481 (Ill. 2001); </w:t>
      </w:r>
      <w:r w:rsidRPr="000334BA">
        <w:rPr>
          <w:i/>
        </w:rPr>
        <w:t>Buss v. Super.</w:t>
      </w:r>
      <w:proofErr w:type="gramEnd"/>
      <w:r w:rsidRPr="000334BA">
        <w:rPr>
          <w:i/>
        </w:rPr>
        <w:t xml:space="preserve"> </w:t>
      </w:r>
      <w:proofErr w:type="gramStart"/>
      <w:r w:rsidRPr="000334BA">
        <w:rPr>
          <w:i/>
        </w:rPr>
        <w:t>Ct.</w:t>
      </w:r>
      <w:r w:rsidRPr="000334BA">
        <w:t>, 16 Cal.4th 35, 46 (1977).</w:t>
      </w:r>
      <w:proofErr w:type="gramEnd"/>
      <w:r w:rsidRPr="000334BA">
        <w:t xml:space="preserve">  Certain policies (i.e., Directors and Officers Policies), are typically duty to indemnify policies.  The insured retains the duty to defend, subject to consent by the insurer, and the insurer provides reimbursement (typically on a current basis) excess of the applicable policy retention.</w:t>
      </w:r>
    </w:p>
    <w:p w:rsidR="00231D9E" w:rsidRPr="000334BA" w:rsidRDefault="00231D9E" w:rsidP="00231D9E">
      <w:r w:rsidRPr="000334BA">
        <w:rPr>
          <w:b/>
          <w:u w:val="single"/>
        </w:rPr>
        <w:t>Excess Insurance</w:t>
      </w:r>
    </w:p>
    <w:p w:rsidR="00231D9E" w:rsidRPr="000334BA" w:rsidRDefault="00231D9E" w:rsidP="00231D9E">
      <w:r w:rsidRPr="000334BA">
        <w:t>An excess insurance policy is a policy that sits above underlying insurance including primary insurance and possibly other excess and umbrella insurance policies.  The policy may have its own insurance provisions or in whole or part follow form to an underlying policy.</w:t>
      </w:r>
    </w:p>
    <w:p w:rsidR="00231D9E" w:rsidRPr="000334BA" w:rsidRDefault="00231D9E" w:rsidP="00231D9E">
      <w:pPr>
        <w:rPr>
          <w:b/>
          <w:u w:val="single"/>
        </w:rPr>
      </w:pPr>
      <w:r w:rsidRPr="000334BA">
        <w:rPr>
          <w:b/>
          <w:u w:val="single"/>
        </w:rPr>
        <w:t>Exhaustion</w:t>
      </w:r>
    </w:p>
    <w:p w:rsidR="00231D9E" w:rsidRDefault="00231D9E" w:rsidP="00231D9E">
      <w:r w:rsidRPr="000334BA">
        <w:lastRenderedPageBreak/>
        <w:t>Exhaustion refers to the using up of the policy’s limits of liability by payment of settlement or judgments or, depending on the policy’s language, defense costs.</w:t>
      </w:r>
    </w:p>
    <w:p w:rsidR="00231D9E" w:rsidRPr="000334BA" w:rsidRDefault="00231D9E" w:rsidP="00231D9E">
      <w:pPr>
        <w:pStyle w:val="ListParagraph"/>
        <w:numPr>
          <w:ilvl w:val="0"/>
          <w:numId w:val="6"/>
        </w:numPr>
        <w:spacing w:after="0" w:line="240" w:lineRule="auto"/>
        <w:rPr>
          <w:b/>
          <w:u w:val="single"/>
        </w:rPr>
      </w:pPr>
      <w:r w:rsidRPr="000334BA">
        <w:rPr>
          <w:b/>
          <w:u w:val="single"/>
        </w:rPr>
        <w:t>Horizontal Exhaustion</w:t>
      </w:r>
    </w:p>
    <w:p w:rsidR="00231D9E" w:rsidRPr="000334BA" w:rsidRDefault="00231D9E" w:rsidP="00231D9E">
      <w:pPr>
        <w:rPr>
          <w:i/>
        </w:rPr>
      </w:pPr>
      <w:r w:rsidRPr="000334BA">
        <w:t xml:space="preserve">Horizontal exhaustion refers to a requirement to first use up the limits of liability of primary policies (or policies all at the same level of coverage) before the next layer of coverage is required to pay.  </w:t>
      </w:r>
      <w:r w:rsidRPr="000334BA">
        <w:rPr>
          <w:i/>
        </w:rPr>
        <w:t xml:space="preserve">See </w:t>
      </w:r>
      <w:r>
        <w:rPr>
          <w:i/>
        </w:rPr>
        <w:t>Community</w:t>
      </w:r>
      <w:r w:rsidRPr="000334BA">
        <w:rPr>
          <w:i/>
        </w:rPr>
        <w:t xml:space="preserve"> Redevelopment Agency v. Aetna </w:t>
      </w:r>
      <w:proofErr w:type="spellStart"/>
      <w:proofErr w:type="gramStart"/>
      <w:r w:rsidRPr="000334BA">
        <w:rPr>
          <w:i/>
        </w:rPr>
        <w:t>Cas</w:t>
      </w:r>
      <w:proofErr w:type="spellEnd"/>
      <w:proofErr w:type="gramEnd"/>
      <w:r w:rsidRPr="000334BA">
        <w:rPr>
          <w:i/>
        </w:rPr>
        <w:t>. &amp; Sur</w:t>
      </w:r>
      <w:r>
        <w:rPr>
          <w:i/>
        </w:rPr>
        <w:t xml:space="preserve">. </w:t>
      </w:r>
      <w:r w:rsidRPr="000334BA">
        <w:rPr>
          <w:i/>
        </w:rPr>
        <w:t>Co.</w:t>
      </w:r>
      <w:r w:rsidRPr="000334BA">
        <w:t>, 50 Cal.App.4th 329</w:t>
      </w:r>
      <w:r>
        <w:t>, 337-340</w:t>
      </w:r>
      <w:r w:rsidRPr="000334BA">
        <w:t xml:space="preserve"> (1996).</w:t>
      </w:r>
    </w:p>
    <w:p w:rsidR="00231D9E" w:rsidRPr="000334BA" w:rsidRDefault="00231D9E" w:rsidP="00231D9E">
      <w:pPr>
        <w:pStyle w:val="ListParagraph"/>
        <w:numPr>
          <w:ilvl w:val="0"/>
          <w:numId w:val="6"/>
        </w:numPr>
        <w:spacing w:after="0" w:line="240" w:lineRule="auto"/>
        <w:rPr>
          <w:b/>
          <w:u w:val="single"/>
        </w:rPr>
      </w:pPr>
      <w:r w:rsidRPr="000334BA">
        <w:rPr>
          <w:b/>
          <w:u w:val="single"/>
        </w:rPr>
        <w:t>Vertical Exhaustion</w:t>
      </w:r>
    </w:p>
    <w:p w:rsidR="00231D9E" w:rsidRPr="000334BA" w:rsidRDefault="00231D9E" w:rsidP="00231D9E">
      <w:r w:rsidRPr="000334BA">
        <w:t>Vertical exhaustion refers to the requirement to pay up the tower of coverage upon using up the directly underlying insurance policy.</w:t>
      </w:r>
    </w:p>
    <w:p w:rsidR="00231D9E" w:rsidRPr="000334BA" w:rsidRDefault="00231D9E" w:rsidP="00231D9E">
      <w:pPr>
        <w:rPr>
          <w:b/>
          <w:u w:val="single"/>
        </w:rPr>
      </w:pPr>
      <w:r w:rsidRPr="000334BA">
        <w:rPr>
          <w:b/>
          <w:u w:val="single"/>
        </w:rPr>
        <w:t>Follow Form</w:t>
      </w:r>
    </w:p>
    <w:p w:rsidR="00231D9E" w:rsidRPr="000334BA" w:rsidRDefault="00231D9E" w:rsidP="00231D9E">
      <w:r w:rsidRPr="000334BA">
        <w:t>This term refers to when an excess insurance policy follows the terms, exclusions, conditions and other provisions of an underlying policy, in whole or part.  The following form language often indicates the excess policy does not follow the underlying policy as to limits and the duty to defend.</w:t>
      </w:r>
    </w:p>
    <w:p w:rsidR="00231D9E" w:rsidRPr="000334BA" w:rsidRDefault="00231D9E" w:rsidP="00231D9E">
      <w:pPr>
        <w:rPr>
          <w:b/>
          <w:u w:val="single"/>
        </w:rPr>
      </w:pPr>
      <w:r w:rsidRPr="000334BA">
        <w:rPr>
          <w:b/>
          <w:u w:val="single"/>
        </w:rPr>
        <w:t>Hammer Clause</w:t>
      </w:r>
    </w:p>
    <w:p w:rsidR="00231D9E" w:rsidRPr="000334BA" w:rsidRDefault="00231D9E" w:rsidP="00231D9E">
      <w:r w:rsidRPr="000334BA">
        <w:t xml:space="preserve">A “hammer clause” is a provision in a liability insurance policy that allows the insured to participate in decisions regarding settlement of a claim against it, but limits the insurer’s liability in the event the insured rejects a settlement recommended by the insured.  A typical hammer clause provides that if the insured refuses to consent to a settlement recommended by the insurer, the insurer’s future liability will be limited to the amount of the proposed settlement plus the costs and expenses incurred up to that date.  </w:t>
      </w:r>
      <w:proofErr w:type="gramStart"/>
      <w:r w:rsidRPr="000334BA">
        <w:rPr>
          <w:i/>
        </w:rPr>
        <w:t xml:space="preserve">See Sec. Ins. Co. of Hartford v. </w:t>
      </w:r>
      <w:proofErr w:type="spellStart"/>
      <w:r w:rsidRPr="000334BA">
        <w:rPr>
          <w:i/>
        </w:rPr>
        <w:t>Schipporeit</w:t>
      </w:r>
      <w:proofErr w:type="spellEnd"/>
      <w:r w:rsidRPr="000334BA">
        <w:rPr>
          <w:i/>
        </w:rPr>
        <w:t>, Inc.</w:t>
      </w:r>
      <w:r w:rsidRPr="000334BA">
        <w:t>, 69 F.3d 1377, 1383 (7th Cir. 1995).</w:t>
      </w:r>
      <w:proofErr w:type="gramEnd"/>
      <w:r w:rsidRPr="000334BA">
        <w:t xml:space="preserve">  Some “softer” hammer clauses provide a co-insurance arrangement on future liability rather than a complete preclusion for coverage of amounts excess of the proposed settlement.</w:t>
      </w:r>
    </w:p>
    <w:p w:rsidR="00231D9E" w:rsidRPr="000334BA" w:rsidRDefault="00231D9E" w:rsidP="00231D9E">
      <w:pPr>
        <w:rPr>
          <w:b/>
          <w:u w:val="single"/>
        </w:rPr>
      </w:pPr>
      <w:r w:rsidRPr="000334BA">
        <w:rPr>
          <w:b/>
          <w:u w:val="single"/>
        </w:rPr>
        <w:t>Loss Control</w:t>
      </w:r>
    </w:p>
    <w:p w:rsidR="00231D9E" w:rsidRPr="000334BA" w:rsidRDefault="00231D9E" w:rsidP="00231D9E">
      <w:pPr>
        <w:rPr>
          <w:color w:val="000000"/>
        </w:rPr>
      </w:pPr>
      <w:proofErr w:type="gramStart"/>
      <w:r w:rsidRPr="000334BA">
        <w:rPr>
          <w:color w:val="000000"/>
        </w:rPr>
        <w:t>A risk management technique that reduces the possibility and/or severity of a loss.</w:t>
      </w:r>
      <w:proofErr w:type="gramEnd"/>
      <w:r w:rsidRPr="000334BA">
        <w:rPr>
          <w:color w:val="000000"/>
        </w:rPr>
        <w:t xml:space="preserve">  For example, sprinklers systems are loss control devices that reduce the severity of loss by fire.    </w:t>
      </w:r>
    </w:p>
    <w:p w:rsidR="00231D9E" w:rsidRPr="000334BA" w:rsidRDefault="00231D9E" w:rsidP="00231D9E">
      <w:pPr>
        <w:rPr>
          <w:b/>
          <w:u w:val="single"/>
        </w:rPr>
      </w:pPr>
      <w:r w:rsidRPr="000334BA">
        <w:rPr>
          <w:b/>
          <w:u w:val="single"/>
        </w:rPr>
        <w:t>Notice Provision or Condition</w:t>
      </w:r>
    </w:p>
    <w:p w:rsidR="00231D9E" w:rsidRPr="000334BA" w:rsidRDefault="00231D9E" w:rsidP="00231D9E">
      <w:r w:rsidRPr="000334BA">
        <w:t>A notice provision or condition in an insurance policy obligates the insured to notify the insurer of a claim, suit, or potential claim or suit.  While wording of notice conditions varies, the conditions often require notice “immediately,” “promptly,” or “as soon as practicable.”  Under an “occurrence” policy, the notice condition serves to “</w:t>
      </w:r>
      <w:proofErr w:type="spellStart"/>
      <w:r w:rsidRPr="000334BA">
        <w:t>maximiz</w:t>
      </w:r>
      <w:proofErr w:type="spellEnd"/>
      <w:r w:rsidRPr="000334BA">
        <w:t xml:space="preserve">[e] the insurer's opportunity to investigate, set reserves, and control or participate in negotiations with the third party asserting the claim against the insured.”  </w:t>
      </w:r>
      <w:proofErr w:type="gramStart"/>
      <w:r w:rsidRPr="000334BA">
        <w:rPr>
          <w:i/>
        </w:rPr>
        <w:t xml:space="preserve">Prodigy </w:t>
      </w:r>
      <w:proofErr w:type="spellStart"/>
      <w:r w:rsidRPr="000334BA">
        <w:rPr>
          <w:i/>
        </w:rPr>
        <w:t>Commc'ns</w:t>
      </w:r>
      <w:proofErr w:type="spellEnd"/>
      <w:r w:rsidRPr="000334BA">
        <w:rPr>
          <w:i/>
        </w:rPr>
        <w:t xml:space="preserve"> Corp. v. Agric. Excess &amp; Surplus Ins. Co.</w:t>
      </w:r>
      <w:r w:rsidRPr="000334BA">
        <w:t>, 288 S.W.3d 374, 380 (Tex. 2009).</w:t>
      </w:r>
      <w:proofErr w:type="gramEnd"/>
      <w:r w:rsidRPr="000334BA">
        <w:t xml:space="preserve">  Under a “claims made” policy, however, notice to the insurer is an essential term of coverage, such that if there is no notice, there is no coverage.  Under a “claims made” policy, however, notice to the insurer is a condition precedent to coverage, such that if there is no notice, there is no coverage.  Late notice issues </w:t>
      </w:r>
      <w:r w:rsidRPr="000334BA">
        <w:lastRenderedPageBreak/>
        <w:t>are one of the most common coverage issues and insureds should be mindful to (1) carefully review their notice reporting requirements to ensure compliance and (2) implement internal procedures that will effectively raise matters that are required to be reported to the attention of the appropriate individuals.</w:t>
      </w:r>
    </w:p>
    <w:p w:rsidR="00231D9E" w:rsidRPr="000334BA" w:rsidRDefault="00231D9E" w:rsidP="00231D9E">
      <w:pPr>
        <w:rPr>
          <w:b/>
          <w:u w:val="single"/>
        </w:rPr>
      </w:pPr>
      <w:r w:rsidRPr="000334BA">
        <w:rPr>
          <w:b/>
          <w:u w:val="single"/>
        </w:rPr>
        <w:t>Policy Limits Demand</w:t>
      </w:r>
    </w:p>
    <w:p w:rsidR="00231D9E" w:rsidRPr="000334BA" w:rsidRDefault="00231D9E" w:rsidP="00231D9E">
      <w:pPr>
        <w:rPr>
          <w:i/>
        </w:rPr>
      </w:pPr>
      <w:r w:rsidRPr="000334BA">
        <w:t xml:space="preserve">A policy limits demand is a demand by the claimant seeking recovery to settle all claims against the insured in exchange for payment of the limit(s) of the potentially-applicable insurance policies.  Under some states’ laws, an insurer’s refusal to settle for the policy limits when a reasonable insurer would have accepted the offer may expose the insurer to liability for the amount of any judgment later imposed on the insured, irrespective of policy limits.  </w:t>
      </w:r>
      <w:proofErr w:type="gramStart"/>
      <w:r w:rsidRPr="000334BA">
        <w:rPr>
          <w:i/>
        </w:rPr>
        <w:t xml:space="preserve">See, e.g., </w:t>
      </w:r>
      <w:r w:rsidRPr="000334BA">
        <w:rPr>
          <w:i/>
          <w:iCs/>
        </w:rPr>
        <w:t xml:space="preserve">G.A. </w:t>
      </w:r>
      <w:proofErr w:type="spellStart"/>
      <w:r w:rsidRPr="000334BA">
        <w:rPr>
          <w:i/>
          <w:iCs/>
        </w:rPr>
        <w:t>Stowers</w:t>
      </w:r>
      <w:proofErr w:type="spellEnd"/>
      <w:r w:rsidRPr="000334BA">
        <w:rPr>
          <w:i/>
          <w:iCs/>
        </w:rPr>
        <w:t xml:space="preserve"> Furniture Co. v. American </w:t>
      </w:r>
      <w:proofErr w:type="spellStart"/>
      <w:r w:rsidRPr="000334BA">
        <w:rPr>
          <w:i/>
          <w:iCs/>
        </w:rPr>
        <w:t>Indem</w:t>
      </w:r>
      <w:proofErr w:type="spellEnd"/>
      <w:r w:rsidRPr="000334BA">
        <w:rPr>
          <w:i/>
          <w:iCs/>
        </w:rPr>
        <w:t>.</w:t>
      </w:r>
      <w:proofErr w:type="gramEnd"/>
      <w:r w:rsidRPr="000334BA">
        <w:rPr>
          <w:i/>
          <w:iCs/>
        </w:rPr>
        <w:t xml:space="preserve"> Co.</w:t>
      </w:r>
      <w:r w:rsidRPr="000334BA">
        <w:t xml:space="preserve">, 15 S.W.2d 544 (Tex. 1929); </w:t>
      </w:r>
      <w:r w:rsidRPr="000334BA">
        <w:rPr>
          <w:i/>
        </w:rPr>
        <w:t xml:space="preserve">Johansen v. California State Auto. </w:t>
      </w:r>
      <w:proofErr w:type="spellStart"/>
      <w:proofErr w:type="gramStart"/>
      <w:r w:rsidRPr="000334BA">
        <w:rPr>
          <w:i/>
        </w:rPr>
        <w:t>Ass'n</w:t>
      </w:r>
      <w:proofErr w:type="spellEnd"/>
      <w:r w:rsidRPr="000334BA">
        <w:rPr>
          <w:i/>
        </w:rPr>
        <w:t xml:space="preserve"> Inter-Ins. Bureau</w:t>
      </w:r>
      <w:r w:rsidRPr="000334BA">
        <w:t>, 15 Cal.3d 9, 19 (1975).</w:t>
      </w:r>
      <w:proofErr w:type="gramEnd"/>
    </w:p>
    <w:p w:rsidR="00231D9E" w:rsidRPr="000334BA" w:rsidRDefault="00231D9E" w:rsidP="00231D9E">
      <w:pPr>
        <w:rPr>
          <w:b/>
          <w:u w:val="single"/>
        </w:rPr>
      </w:pPr>
      <w:r w:rsidRPr="000334BA">
        <w:rPr>
          <w:b/>
          <w:u w:val="single"/>
        </w:rPr>
        <w:t>Primary Insurance</w:t>
      </w:r>
    </w:p>
    <w:p w:rsidR="00231D9E" w:rsidRPr="000334BA" w:rsidRDefault="00231D9E" w:rsidP="00231D9E">
      <w:proofErr w:type="gramStart"/>
      <w:r w:rsidRPr="000334BA">
        <w:t>An insurance policy that provides the first layer of insurance coverage in a multi-layered program.</w:t>
      </w:r>
      <w:proofErr w:type="gramEnd"/>
      <w:r w:rsidRPr="000334BA">
        <w:t xml:space="preserve">  Primary insurance coverage typically attaches upon the happening of an occurrence or as soon as a claim is made and may provide for a duty to defend.</w:t>
      </w:r>
    </w:p>
    <w:p w:rsidR="00231D9E" w:rsidRPr="000334BA" w:rsidRDefault="00231D9E" w:rsidP="00231D9E">
      <w:pPr>
        <w:rPr>
          <w:b/>
          <w:u w:val="single"/>
        </w:rPr>
      </w:pPr>
      <w:r w:rsidRPr="000334BA">
        <w:rPr>
          <w:b/>
          <w:u w:val="single"/>
        </w:rPr>
        <w:t>Reservations of Rights Letter</w:t>
      </w:r>
    </w:p>
    <w:p w:rsidR="00231D9E" w:rsidRPr="000334BA" w:rsidRDefault="00231D9E" w:rsidP="00231D9E">
      <w:r w:rsidRPr="000334BA">
        <w:t xml:space="preserve">A letter sent by the insurer to the insured identifying potential coverage issues, and reserving the insurer’s rights to deny or limit coverage in the future.  A reservation of rights letter has two recognized purposes. First, and primarily, a reservation of rights letter is used to identify potential coverage issues, and protect the insurer from waiving its right to dispute the existence or extent of indemnity coverage.  If an insurer defends the insured without reserving its rights on indemnity, the insurer may be found to have waived its defenses under the policy, and thus be bound to pay any sums for which the insured eventually is held to be liable.  Thus, a reservation of rights letter may also be referred to as a “non-waiver letter.”  The second purpose is to prevent the insurer from having been found to have waived its right to reimbursement of defense costs in circumstances where the policy or applicable law allows for reimbursement.  </w:t>
      </w:r>
      <w:proofErr w:type="gramStart"/>
      <w:r w:rsidRPr="007E642A">
        <w:rPr>
          <w:i/>
        </w:rPr>
        <w:t>See</w:t>
      </w:r>
      <w:r>
        <w:rPr>
          <w:i/>
        </w:rPr>
        <w:t>,</w:t>
      </w:r>
      <w:r w:rsidRPr="007E642A">
        <w:rPr>
          <w:i/>
        </w:rPr>
        <w:t xml:space="preserve"> e.g</w:t>
      </w:r>
      <w:r w:rsidRPr="000334BA">
        <w:t>.,</w:t>
      </w:r>
      <w:r w:rsidRPr="000334BA">
        <w:rPr>
          <w:i/>
        </w:rPr>
        <w:t xml:space="preserve"> Buss v. Superior Court</w:t>
      </w:r>
      <w:r w:rsidRPr="000334BA">
        <w:t>, 16 Cal. 4th 35, 61, fn. 27, 939 P.2d 766, 784 n. 27 (1997).</w:t>
      </w:r>
      <w:proofErr w:type="gramEnd"/>
      <w:r w:rsidRPr="000334BA">
        <w:t xml:space="preserve">  In those instances, a reservation of rights letter is also used to protect the insurer from waiving its rights to later contest payment of defense costs or to seek reimbursement of such costs.  Insureds may contest or object to reservation of rights letters.  While insureds do not waive rights if they do not raise them, many insureds like to take the step of affirmatively reserving their rights to pursue coverage under the policy.</w:t>
      </w:r>
    </w:p>
    <w:p w:rsidR="00231D9E" w:rsidRPr="000334BA" w:rsidRDefault="00231D9E" w:rsidP="00231D9E">
      <w:r w:rsidRPr="000334BA">
        <w:rPr>
          <w:b/>
          <w:u w:val="single"/>
        </w:rPr>
        <w:t>Self-Insured Retention / Retained Limit</w:t>
      </w:r>
    </w:p>
    <w:p w:rsidR="00231D9E" w:rsidRPr="000334BA" w:rsidRDefault="00231D9E" w:rsidP="00231D9E">
      <w:r w:rsidRPr="000334BA">
        <w:t>This is an amount that the insured agrees, for a reduction in the cost of the premium, to pay before the insurance policy has to pay.  Depending on the policy language, the retention may be indemnity-only, or may include both defense and indemnity.</w:t>
      </w:r>
    </w:p>
    <w:p w:rsidR="00231D9E" w:rsidRPr="000334BA" w:rsidRDefault="00231D9E" w:rsidP="00231D9E">
      <w:pPr>
        <w:rPr>
          <w:b/>
          <w:u w:val="single"/>
        </w:rPr>
      </w:pPr>
      <w:r w:rsidRPr="000334BA">
        <w:rPr>
          <w:b/>
          <w:u w:val="single"/>
        </w:rPr>
        <w:lastRenderedPageBreak/>
        <w:t>“Shaving of Limits” Endorsement or Wording</w:t>
      </w:r>
    </w:p>
    <w:p w:rsidR="00231D9E" w:rsidRPr="000334BA" w:rsidRDefault="00231D9E" w:rsidP="00231D9E">
      <w:r w:rsidRPr="000334BA">
        <w:t>A provision in an excess or umbrella policy stating that the insurer will provide coverage at their attachment point, irrespective of whether the underlying  insurer or another party has paid the underlying insurance limits.</w:t>
      </w:r>
    </w:p>
    <w:p w:rsidR="00231D9E" w:rsidRPr="000334BA" w:rsidRDefault="00231D9E" w:rsidP="00231D9E">
      <w:pPr>
        <w:rPr>
          <w:b/>
          <w:u w:val="single"/>
        </w:rPr>
      </w:pPr>
      <w:r w:rsidRPr="000334BA">
        <w:rPr>
          <w:b/>
          <w:u w:val="single"/>
        </w:rPr>
        <w:t>Tender</w:t>
      </w:r>
    </w:p>
    <w:p w:rsidR="00231D9E" w:rsidRPr="000334BA" w:rsidRDefault="00231D9E" w:rsidP="00231D9E">
      <w:proofErr w:type="gramStart"/>
      <w:r w:rsidRPr="000334BA">
        <w:t>The process by which a policyholder notifies an insurer that it is requesting defense and/or indemnity under an insurance policy.</w:t>
      </w:r>
      <w:proofErr w:type="gramEnd"/>
      <w:r w:rsidRPr="000334BA">
        <w:t xml:space="preserve">  “Tender” is not a word usually used in the policy; rather, insurance policies contain notice provisions.</w:t>
      </w:r>
    </w:p>
    <w:p w:rsidR="00231D9E" w:rsidRPr="000334BA" w:rsidRDefault="00231D9E" w:rsidP="00231D9E">
      <w:pPr>
        <w:rPr>
          <w:b/>
          <w:u w:val="single"/>
        </w:rPr>
      </w:pPr>
      <w:r w:rsidRPr="000334BA">
        <w:rPr>
          <w:b/>
          <w:u w:val="single"/>
        </w:rPr>
        <w:t>Trigger</w:t>
      </w:r>
    </w:p>
    <w:p w:rsidR="00231D9E" w:rsidRPr="000334BA" w:rsidRDefault="00231D9E" w:rsidP="00231D9E">
      <w:r w:rsidRPr="000334BA">
        <w:t>“Trigger” refers to what has to happen</w:t>
      </w:r>
      <w:r>
        <w:t xml:space="preserve"> during the policy period</w:t>
      </w:r>
      <w:r w:rsidRPr="000334BA">
        <w:t xml:space="preserve"> before an insurance policy has an obligation to defend or indemnify.  </w:t>
      </w:r>
      <w:proofErr w:type="gramStart"/>
      <w:r w:rsidRPr="000334BA">
        <w:rPr>
          <w:i/>
        </w:rPr>
        <w:t>Montrose Chem. Corp. v. Admiral Ins. Co.</w:t>
      </w:r>
      <w:r w:rsidRPr="000334BA">
        <w:t>, 10 Cal.4th 645, 660 (1995).</w:t>
      </w:r>
      <w:proofErr w:type="gramEnd"/>
      <w:r w:rsidRPr="000334BA">
        <w:t xml:space="preserve">  </w:t>
      </w:r>
      <w:proofErr w:type="gramStart"/>
      <w:r w:rsidRPr="000334BA">
        <w:t>For a claims</w:t>
      </w:r>
      <w:proofErr w:type="gramEnd"/>
      <w:r w:rsidRPr="000334BA">
        <w:t xml:space="preserve"> made policy, the trigger may (depending on the policy’s language) be the claim being made against the insured and/or claim being reported to the insurer.</w:t>
      </w:r>
      <w:r>
        <w:t xml:space="preserve">  For advertising injury and personal injury coverage, policies usually require that the offense take place during the policy period.</w:t>
      </w:r>
      <w:r w:rsidRPr="000334BA">
        <w:t xml:space="preserve">  For an occurrence-based policy</w:t>
      </w:r>
      <w:r>
        <w:t>, depending on the policy’s language, the damage or injury must happen during the policy period.  I</w:t>
      </w:r>
      <w:r w:rsidRPr="000334BA">
        <w:t>n a situation involving a continuous or progressive injury or damage, there are several different trigger theories, depending on the policy’s language and the law in the applicable jurisdiction:</w:t>
      </w:r>
    </w:p>
    <w:p w:rsidR="00231D9E" w:rsidRPr="000334BA" w:rsidRDefault="00231D9E" w:rsidP="00231D9E">
      <w:pPr>
        <w:pStyle w:val="ListParagraph"/>
        <w:numPr>
          <w:ilvl w:val="0"/>
          <w:numId w:val="7"/>
        </w:numPr>
        <w:spacing w:after="0" w:line="240" w:lineRule="auto"/>
      </w:pPr>
      <w:r w:rsidRPr="000334BA">
        <w:t>Exposure – Policy is triggered by date when person or property was first exposed to what caused the injury or damage.</w:t>
      </w:r>
    </w:p>
    <w:p w:rsidR="00231D9E" w:rsidRPr="000334BA" w:rsidRDefault="00231D9E" w:rsidP="00231D9E">
      <w:pPr>
        <w:pStyle w:val="ListParagraph"/>
        <w:numPr>
          <w:ilvl w:val="0"/>
          <w:numId w:val="7"/>
        </w:numPr>
        <w:spacing w:after="0" w:line="240" w:lineRule="auto"/>
      </w:pPr>
      <w:r w:rsidRPr="000334BA">
        <w:t>Manifestation – Policy is triggered when injury or damage first manifest.</w:t>
      </w:r>
    </w:p>
    <w:p w:rsidR="00231D9E" w:rsidRPr="000334BA" w:rsidRDefault="00231D9E" w:rsidP="00231D9E">
      <w:pPr>
        <w:pStyle w:val="ListParagraph"/>
        <w:numPr>
          <w:ilvl w:val="0"/>
          <w:numId w:val="7"/>
        </w:numPr>
        <w:spacing w:after="0" w:line="240" w:lineRule="auto"/>
      </w:pPr>
      <w:r w:rsidRPr="000334BA">
        <w:t>Injury in Fact – Policies are triggered by when the actual damage or injury happened.</w:t>
      </w:r>
    </w:p>
    <w:p w:rsidR="00231D9E" w:rsidRPr="000334BA" w:rsidRDefault="00231D9E" w:rsidP="00231D9E">
      <w:pPr>
        <w:pStyle w:val="ListParagraph"/>
        <w:numPr>
          <w:ilvl w:val="0"/>
          <w:numId w:val="7"/>
        </w:numPr>
        <w:spacing w:after="0" w:line="240" w:lineRule="auto"/>
      </w:pPr>
      <w:r w:rsidRPr="000334BA">
        <w:t>Continuous trigger – Policies are triggered from the date of first exposure until the person dies or the claim is resolved.</w:t>
      </w:r>
    </w:p>
    <w:p w:rsidR="00231D9E" w:rsidRPr="000334BA" w:rsidRDefault="00231D9E" w:rsidP="00231D9E">
      <w:r>
        <w:t>“</w:t>
      </w:r>
      <w:r w:rsidRPr="000334BA">
        <w:t>Double anchor</w:t>
      </w:r>
      <w:r>
        <w:t>” is another trigger term that r</w:t>
      </w:r>
      <w:r w:rsidRPr="000334BA">
        <w:t xml:space="preserve">efers to </w:t>
      </w:r>
      <w:r>
        <w:t>a situation where</w:t>
      </w:r>
      <w:r w:rsidRPr="000334BA">
        <w:t xml:space="preserve"> the</w:t>
      </w:r>
      <w:r>
        <w:t xml:space="preserve"> insurance</w:t>
      </w:r>
      <w:r w:rsidRPr="000334BA">
        <w:t xml:space="preserve"> policy require</w:t>
      </w:r>
      <w:r>
        <w:t>s</w:t>
      </w:r>
      <w:r w:rsidRPr="000334BA">
        <w:t xml:space="preserve"> both that the occurrence (accident) and the injury/damage happen during the policy period.</w:t>
      </w:r>
    </w:p>
    <w:p w:rsidR="00231D9E" w:rsidRPr="007C7C44" w:rsidRDefault="00231D9E" w:rsidP="00231D9E">
      <w:pPr>
        <w:rPr>
          <w:b/>
        </w:rPr>
      </w:pPr>
      <w:r w:rsidRPr="007C7C44">
        <w:rPr>
          <w:b/>
          <w:u w:val="single"/>
        </w:rPr>
        <w:t>Tri-partite Relationship</w:t>
      </w:r>
    </w:p>
    <w:p w:rsidR="00231D9E" w:rsidRPr="007C7C44" w:rsidRDefault="00231D9E" w:rsidP="00231D9E">
      <w:pPr>
        <w:rPr>
          <w:rFonts w:eastAsia="Calibri"/>
        </w:rPr>
      </w:pPr>
      <w:r w:rsidRPr="007C7C44">
        <w:t>This term describes the relationship between insured, defense counsel, and the insurer that retained the defense counsel to defend the insured.</w:t>
      </w:r>
      <w:r>
        <w:t xml:space="preserve">  The ‘triangular’ </w:t>
      </w:r>
      <w:r w:rsidRPr="007C7C44">
        <w:t xml:space="preserve">aspect </w:t>
      </w:r>
      <w:r>
        <w:t>i</w:t>
      </w:r>
      <w:r w:rsidRPr="007C7C44">
        <w:t xml:space="preserve">s described as a coalition for a common purpose, </w:t>
      </w:r>
      <w:r>
        <w:t>w</w:t>
      </w:r>
      <w:r w:rsidRPr="007C7C44">
        <w:t>ith</w:t>
      </w:r>
      <w:r>
        <w:t xml:space="preserve"> (when there are no conflicts)</w:t>
      </w:r>
      <w:r w:rsidRPr="007C7C44">
        <w:t xml:space="preserve"> the attor</w:t>
      </w:r>
      <w:r>
        <w:t xml:space="preserve">ney owing duties to both the insured and its insurer and the primary client at all times being the insured.  </w:t>
      </w:r>
      <w:r>
        <w:rPr>
          <w:i/>
        </w:rPr>
        <w:t xml:space="preserve">See </w:t>
      </w:r>
      <w:r w:rsidRPr="007C7C44">
        <w:rPr>
          <w:rFonts w:eastAsia="Calibri"/>
          <w:i/>
          <w:iCs/>
        </w:rPr>
        <w:t xml:space="preserve">Purdy v. Pac. Auto. </w:t>
      </w:r>
      <w:proofErr w:type="gramStart"/>
      <w:r w:rsidRPr="007C7C44">
        <w:rPr>
          <w:rFonts w:eastAsia="Calibri"/>
          <w:i/>
          <w:iCs/>
        </w:rPr>
        <w:t>Ins. Co.</w:t>
      </w:r>
      <w:r w:rsidRPr="007C7C44">
        <w:rPr>
          <w:rFonts w:eastAsia="Calibri"/>
        </w:rPr>
        <w:t>, 157 Cal.App.3d 59, 76 (1984).</w:t>
      </w:r>
      <w:proofErr w:type="gramEnd"/>
    </w:p>
    <w:p w:rsidR="00231D9E" w:rsidRPr="000334BA" w:rsidRDefault="00231D9E" w:rsidP="00231D9E">
      <w:pPr>
        <w:rPr>
          <w:b/>
          <w:u w:val="single"/>
        </w:rPr>
      </w:pPr>
      <w:r w:rsidRPr="000334BA">
        <w:rPr>
          <w:b/>
          <w:u w:val="single"/>
        </w:rPr>
        <w:t>Umbrella Insurance</w:t>
      </w:r>
    </w:p>
    <w:p w:rsidR="00231D9E" w:rsidRPr="000334BA" w:rsidRDefault="00231D9E" w:rsidP="00231D9E">
      <w:r w:rsidRPr="000334BA">
        <w:t xml:space="preserve">An insurance policy that provides limits of coverage above an underlying liability policy and may also provide a type of or broader coverage that is not available in the underlying policy. </w:t>
      </w:r>
    </w:p>
    <w:p w:rsidR="00231D9E" w:rsidRPr="000334BA" w:rsidRDefault="00231D9E" w:rsidP="00231D9E">
      <w:r w:rsidRPr="000334BA">
        <w:rPr>
          <w:b/>
          <w:u w:val="single"/>
        </w:rPr>
        <w:lastRenderedPageBreak/>
        <w:t>Wasting (or Eroding) Limits</w:t>
      </w:r>
    </w:p>
    <w:p w:rsidR="00231D9E" w:rsidRPr="00231D9E" w:rsidRDefault="00231D9E" w:rsidP="00276837">
      <w:r w:rsidRPr="000334BA">
        <w:t>An insurance policy that provides that its limits are used up by payment of both defense costs and indemnity payments is referred to as a “wasting” or “eroding” policy.  This type of policy is contrasted to an insurance policy that provides for payment of defense costs in addition to the limits of liability.</w:t>
      </w:r>
      <w:bookmarkStart w:id="0" w:name="_GoBack"/>
      <w:bookmarkEnd w:id="0"/>
    </w:p>
    <w:sectPr w:rsidR="00231D9E" w:rsidRPr="00231D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othamCondensed-Light">
    <w:altName w:val="MS Gothic"/>
    <w:panose1 w:val="00000000000000000000"/>
    <w:charset w:val="80"/>
    <w:family w:val="swiss"/>
    <w:notTrueType/>
    <w:pitch w:val="default"/>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197743"/>
    <w:multiLevelType w:val="hybridMultilevel"/>
    <w:tmpl w:val="2AFA014A"/>
    <w:lvl w:ilvl="0" w:tplc="912E27C4">
      <w:start w:val="1"/>
      <w:numFmt w:val="bullet"/>
      <w:lvlText w:val=""/>
      <w:lvlJc w:val="left"/>
      <w:pPr>
        <w:ind w:left="720" w:hanging="360"/>
      </w:pPr>
      <w:rPr>
        <w:rFonts w:ascii="Symbol" w:hAnsi="Symbol" w:hint="default"/>
      </w:rPr>
    </w:lvl>
    <w:lvl w:ilvl="1" w:tplc="D8B64B9E" w:tentative="1">
      <w:start w:val="1"/>
      <w:numFmt w:val="bullet"/>
      <w:lvlText w:val="o"/>
      <w:lvlJc w:val="left"/>
      <w:pPr>
        <w:ind w:left="1440" w:hanging="360"/>
      </w:pPr>
      <w:rPr>
        <w:rFonts w:ascii="Courier New" w:hAnsi="Courier New" w:cs="Courier New" w:hint="default"/>
      </w:rPr>
    </w:lvl>
    <w:lvl w:ilvl="2" w:tplc="702A63B6" w:tentative="1">
      <w:start w:val="1"/>
      <w:numFmt w:val="bullet"/>
      <w:lvlText w:val=""/>
      <w:lvlJc w:val="left"/>
      <w:pPr>
        <w:ind w:left="2160" w:hanging="360"/>
      </w:pPr>
      <w:rPr>
        <w:rFonts w:ascii="Wingdings" w:hAnsi="Wingdings" w:hint="default"/>
      </w:rPr>
    </w:lvl>
    <w:lvl w:ilvl="3" w:tplc="DB981A3E" w:tentative="1">
      <w:start w:val="1"/>
      <w:numFmt w:val="bullet"/>
      <w:lvlText w:val=""/>
      <w:lvlJc w:val="left"/>
      <w:pPr>
        <w:ind w:left="2880" w:hanging="360"/>
      </w:pPr>
      <w:rPr>
        <w:rFonts w:ascii="Symbol" w:hAnsi="Symbol" w:hint="default"/>
      </w:rPr>
    </w:lvl>
    <w:lvl w:ilvl="4" w:tplc="3594F578" w:tentative="1">
      <w:start w:val="1"/>
      <w:numFmt w:val="bullet"/>
      <w:lvlText w:val="o"/>
      <w:lvlJc w:val="left"/>
      <w:pPr>
        <w:ind w:left="3600" w:hanging="360"/>
      </w:pPr>
      <w:rPr>
        <w:rFonts w:ascii="Courier New" w:hAnsi="Courier New" w:cs="Courier New" w:hint="default"/>
      </w:rPr>
    </w:lvl>
    <w:lvl w:ilvl="5" w:tplc="A748F99E" w:tentative="1">
      <w:start w:val="1"/>
      <w:numFmt w:val="bullet"/>
      <w:lvlText w:val=""/>
      <w:lvlJc w:val="left"/>
      <w:pPr>
        <w:ind w:left="4320" w:hanging="360"/>
      </w:pPr>
      <w:rPr>
        <w:rFonts w:ascii="Wingdings" w:hAnsi="Wingdings" w:hint="default"/>
      </w:rPr>
    </w:lvl>
    <w:lvl w:ilvl="6" w:tplc="AAC2465E" w:tentative="1">
      <w:start w:val="1"/>
      <w:numFmt w:val="bullet"/>
      <w:lvlText w:val=""/>
      <w:lvlJc w:val="left"/>
      <w:pPr>
        <w:ind w:left="5040" w:hanging="360"/>
      </w:pPr>
      <w:rPr>
        <w:rFonts w:ascii="Symbol" w:hAnsi="Symbol" w:hint="default"/>
      </w:rPr>
    </w:lvl>
    <w:lvl w:ilvl="7" w:tplc="EB34AA5C" w:tentative="1">
      <w:start w:val="1"/>
      <w:numFmt w:val="bullet"/>
      <w:lvlText w:val="o"/>
      <w:lvlJc w:val="left"/>
      <w:pPr>
        <w:ind w:left="5760" w:hanging="360"/>
      </w:pPr>
      <w:rPr>
        <w:rFonts w:ascii="Courier New" w:hAnsi="Courier New" w:cs="Courier New" w:hint="default"/>
      </w:rPr>
    </w:lvl>
    <w:lvl w:ilvl="8" w:tplc="0C9293C8" w:tentative="1">
      <w:start w:val="1"/>
      <w:numFmt w:val="bullet"/>
      <w:lvlText w:val=""/>
      <w:lvlJc w:val="left"/>
      <w:pPr>
        <w:ind w:left="6480" w:hanging="360"/>
      </w:pPr>
      <w:rPr>
        <w:rFonts w:ascii="Wingdings" w:hAnsi="Wingdings" w:hint="default"/>
      </w:rPr>
    </w:lvl>
  </w:abstractNum>
  <w:abstractNum w:abstractNumId="1">
    <w:nsid w:val="2A4564F3"/>
    <w:multiLevelType w:val="hybridMultilevel"/>
    <w:tmpl w:val="193463BE"/>
    <w:lvl w:ilvl="0" w:tplc="F9C464B4">
      <w:numFmt w:val="bullet"/>
      <w:lvlText w:val="-"/>
      <w:lvlJc w:val="left"/>
      <w:pPr>
        <w:ind w:left="720" w:hanging="360"/>
      </w:pPr>
      <w:rPr>
        <w:rFonts w:ascii="Arial" w:eastAsia="GothamCondensed-Light"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C920E5"/>
    <w:multiLevelType w:val="hybridMultilevel"/>
    <w:tmpl w:val="7584D6F6"/>
    <w:lvl w:ilvl="0" w:tplc="890626F6">
      <w:start w:val="1"/>
      <w:numFmt w:val="bullet"/>
      <w:lvlText w:val=""/>
      <w:lvlJc w:val="left"/>
      <w:pPr>
        <w:ind w:left="720" w:hanging="360"/>
      </w:pPr>
      <w:rPr>
        <w:rFonts w:ascii="Symbol" w:hAnsi="Symbol" w:hint="default"/>
      </w:rPr>
    </w:lvl>
    <w:lvl w:ilvl="1" w:tplc="19C4E924" w:tentative="1">
      <w:start w:val="1"/>
      <w:numFmt w:val="bullet"/>
      <w:lvlText w:val="o"/>
      <w:lvlJc w:val="left"/>
      <w:pPr>
        <w:ind w:left="1440" w:hanging="360"/>
      </w:pPr>
      <w:rPr>
        <w:rFonts w:ascii="Courier New" w:hAnsi="Courier New" w:cs="Courier New" w:hint="default"/>
      </w:rPr>
    </w:lvl>
    <w:lvl w:ilvl="2" w:tplc="ADA65694" w:tentative="1">
      <w:start w:val="1"/>
      <w:numFmt w:val="bullet"/>
      <w:lvlText w:val=""/>
      <w:lvlJc w:val="left"/>
      <w:pPr>
        <w:ind w:left="2160" w:hanging="360"/>
      </w:pPr>
      <w:rPr>
        <w:rFonts w:ascii="Wingdings" w:hAnsi="Wingdings" w:hint="default"/>
      </w:rPr>
    </w:lvl>
    <w:lvl w:ilvl="3" w:tplc="F9C461DC" w:tentative="1">
      <w:start w:val="1"/>
      <w:numFmt w:val="bullet"/>
      <w:lvlText w:val=""/>
      <w:lvlJc w:val="left"/>
      <w:pPr>
        <w:ind w:left="2880" w:hanging="360"/>
      </w:pPr>
      <w:rPr>
        <w:rFonts w:ascii="Symbol" w:hAnsi="Symbol" w:hint="default"/>
      </w:rPr>
    </w:lvl>
    <w:lvl w:ilvl="4" w:tplc="BF0491FE" w:tentative="1">
      <w:start w:val="1"/>
      <w:numFmt w:val="bullet"/>
      <w:lvlText w:val="o"/>
      <w:lvlJc w:val="left"/>
      <w:pPr>
        <w:ind w:left="3600" w:hanging="360"/>
      </w:pPr>
      <w:rPr>
        <w:rFonts w:ascii="Courier New" w:hAnsi="Courier New" w:cs="Courier New" w:hint="default"/>
      </w:rPr>
    </w:lvl>
    <w:lvl w:ilvl="5" w:tplc="69880EAC" w:tentative="1">
      <w:start w:val="1"/>
      <w:numFmt w:val="bullet"/>
      <w:lvlText w:val=""/>
      <w:lvlJc w:val="left"/>
      <w:pPr>
        <w:ind w:left="4320" w:hanging="360"/>
      </w:pPr>
      <w:rPr>
        <w:rFonts w:ascii="Wingdings" w:hAnsi="Wingdings" w:hint="default"/>
      </w:rPr>
    </w:lvl>
    <w:lvl w:ilvl="6" w:tplc="50D434EC" w:tentative="1">
      <w:start w:val="1"/>
      <w:numFmt w:val="bullet"/>
      <w:lvlText w:val=""/>
      <w:lvlJc w:val="left"/>
      <w:pPr>
        <w:ind w:left="5040" w:hanging="360"/>
      </w:pPr>
      <w:rPr>
        <w:rFonts w:ascii="Symbol" w:hAnsi="Symbol" w:hint="default"/>
      </w:rPr>
    </w:lvl>
    <w:lvl w:ilvl="7" w:tplc="97E012F4" w:tentative="1">
      <w:start w:val="1"/>
      <w:numFmt w:val="bullet"/>
      <w:lvlText w:val="o"/>
      <w:lvlJc w:val="left"/>
      <w:pPr>
        <w:ind w:left="5760" w:hanging="360"/>
      </w:pPr>
      <w:rPr>
        <w:rFonts w:ascii="Courier New" w:hAnsi="Courier New" w:cs="Courier New" w:hint="default"/>
      </w:rPr>
    </w:lvl>
    <w:lvl w:ilvl="8" w:tplc="65E6B39A" w:tentative="1">
      <w:start w:val="1"/>
      <w:numFmt w:val="bullet"/>
      <w:lvlText w:val=""/>
      <w:lvlJc w:val="left"/>
      <w:pPr>
        <w:ind w:left="6480" w:hanging="360"/>
      </w:pPr>
      <w:rPr>
        <w:rFonts w:ascii="Wingdings" w:hAnsi="Wingdings" w:hint="default"/>
      </w:rPr>
    </w:lvl>
  </w:abstractNum>
  <w:abstractNum w:abstractNumId="3">
    <w:nsid w:val="34530D75"/>
    <w:multiLevelType w:val="hybridMultilevel"/>
    <w:tmpl w:val="086C7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B913A7"/>
    <w:multiLevelType w:val="hybridMultilevel"/>
    <w:tmpl w:val="79F402B8"/>
    <w:lvl w:ilvl="0" w:tplc="276E32FA">
      <w:start w:val="1"/>
      <w:numFmt w:val="bullet"/>
      <w:lvlText w:val=""/>
      <w:lvlJc w:val="left"/>
      <w:pPr>
        <w:ind w:left="720" w:hanging="360"/>
      </w:pPr>
      <w:rPr>
        <w:rFonts w:ascii="Symbol" w:hAnsi="Symbol" w:hint="default"/>
      </w:rPr>
    </w:lvl>
    <w:lvl w:ilvl="1" w:tplc="29E45742" w:tentative="1">
      <w:start w:val="1"/>
      <w:numFmt w:val="bullet"/>
      <w:lvlText w:val="o"/>
      <w:lvlJc w:val="left"/>
      <w:pPr>
        <w:ind w:left="1440" w:hanging="360"/>
      </w:pPr>
      <w:rPr>
        <w:rFonts w:ascii="Courier New" w:hAnsi="Courier New" w:cs="Courier New" w:hint="default"/>
      </w:rPr>
    </w:lvl>
    <w:lvl w:ilvl="2" w:tplc="03ECD772" w:tentative="1">
      <w:start w:val="1"/>
      <w:numFmt w:val="bullet"/>
      <w:lvlText w:val=""/>
      <w:lvlJc w:val="left"/>
      <w:pPr>
        <w:ind w:left="2160" w:hanging="360"/>
      </w:pPr>
      <w:rPr>
        <w:rFonts w:ascii="Wingdings" w:hAnsi="Wingdings" w:hint="default"/>
      </w:rPr>
    </w:lvl>
    <w:lvl w:ilvl="3" w:tplc="D8C80F06" w:tentative="1">
      <w:start w:val="1"/>
      <w:numFmt w:val="bullet"/>
      <w:lvlText w:val=""/>
      <w:lvlJc w:val="left"/>
      <w:pPr>
        <w:ind w:left="2880" w:hanging="360"/>
      </w:pPr>
      <w:rPr>
        <w:rFonts w:ascii="Symbol" w:hAnsi="Symbol" w:hint="default"/>
      </w:rPr>
    </w:lvl>
    <w:lvl w:ilvl="4" w:tplc="A82AE31A" w:tentative="1">
      <w:start w:val="1"/>
      <w:numFmt w:val="bullet"/>
      <w:lvlText w:val="o"/>
      <w:lvlJc w:val="left"/>
      <w:pPr>
        <w:ind w:left="3600" w:hanging="360"/>
      </w:pPr>
      <w:rPr>
        <w:rFonts w:ascii="Courier New" w:hAnsi="Courier New" w:cs="Courier New" w:hint="default"/>
      </w:rPr>
    </w:lvl>
    <w:lvl w:ilvl="5" w:tplc="E30279E8" w:tentative="1">
      <w:start w:val="1"/>
      <w:numFmt w:val="bullet"/>
      <w:lvlText w:val=""/>
      <w:lvlJc w:val="left"/>
      <w:pPr>
        <w:ind w:left="4320" w:hanging="360"/>
      </w:pPr>
      <w:rPr>
        <w:rFonts w:ascii="Wingdings" w:hAnsi="Wingdings" w:hint="default"/>
      </w:rPr>
    </w:lvl>
    <w:lvl w:ilvl="6" w:tplc="4BEAB166" w:tentative="1">
      <w:start w:val="1"/>
      <w:numFmt w:val="bullet"/>
      <w:lvlText w:val=""/>
      <w:lvlJc w:val="left"/>
      <w:pPr>
        <w:ind w:left="5040" w:hanging="360"/>
      </w:pPr>
      <w:rPr>
        <w:rFonts w:ascii="Symbol" w:hAnsi="Symbol" w:hint="default"/>
      </w:rPr>
    </w:lvl>
    <w:lvl w:ilvl="7" w:tplc="3B6E4702" w:tentative="1">
      <w:start w:val="1"/>
      <w:numFmt w:val="bullet"/>
      <w:lvlText w:val="o"/>
      <w:lvlJc w:val="left"/>
      <w:pPr>
        <w:ind w:left="5760" w:hanging="360"/>
      </w:pPr>
      <w:rPr>
        <w:rFonts w:ascii="Courier New" w:hAnsi="Courier New" w:cs="Courier New" w:hint="default"/>
      </w:rPr>
    </w:lvl>
    <w:lvl w:ilvl="8" w:tplc="804C7540" w:tentative="1">
      <w:start w:val="1"/>
      <w:numFmt w:val="bullet"/>
      <w:lvlText w:val=""/>
      <w:lvlJc w:val="left"/>
      <w:pPr>
        <w:ind w:left="6480" w:hanging="360"/>
      </w:pPr>
      <w:rPr>
        <w:rFonts w:ascii="Wingdings" w:hAnsi="Wingdings" w:hint="default"/>
      </w:rPr>
    </w:lvl>
  </w:abstractNum>
  <w:abstractNum w:abstractNumId="5">
    <w:nsid w:val="6316041A"/>
    <w:multiLevelType w:val="hybridMultilevel"/>
    <w:tmpl w:val="E12CFF38"/>
    <w:lvl w:ilvl="0" w:tplc="F9C464B4">
      <w:numFmt w:val="bullet"/>
      <w:lvlText w:val="-"/>
      <w:lvlJc w:val="left"/>
      <w:pPr>
        <w:ind w:left="720" w:hanging="360"/>
      </w:pPr>
      <w:rPr>
        <w:rFonts w:ascii="Arial" w:eastAsia="GothamCondensed-Light"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3363583"/>
    <w:multiLevelType w:val="hybridMultilevel"/>
    <w:tmpl w:val="26BA035C"/>
    <w:lvl w:ilvl="0" w:tplc="F9C464B4">
      <w:numFmt w:val="bullet"/>
      <w:lvlText w:val="-"/>
      <w:lvlJc w:val="left"/>
      <w:pPr>
        <w:ind w:left="720" w:hanging="360"/>
      </w:pPr>
      <w:rPr>
        <w:rFonts w:ascii="Arial" w:eastAsia="GothamCondensed-Light"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
  </w:num>
  <w:num w:numId="4">
    <w:abstractNumId w:val="6"/>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837"/>
    <w:rsid w:val="00231D9E"/>
    <w:rsid w:val="00276837"/>
    <w:rsid w:val="002E71C3"/>
    <w:rsid w:val="00527BBC"/>
    <w:rsid w:val="005E1ED1"/>
    <w:rsid w:val="007A73BF"/>
    <w:rsid w:val="007E2555"/>
    <w:rsid w:val="00825669"/>
    <w:rsid w:val="00AC1097"/>
    <w:rsid w:val="00F81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68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68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9</Pages>
  <Words>3215</Words>
  <Characters>18329</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NFMS User</dc:creator>
  <cp:keywords/>
  <dc:description/>
  <cp:lastModifiedBy>NFMS User</cp:lastModifiedBy>
  <cp:revision>3</cp:revision>
  <cp:lastPrinted>2014-08-27T23:49:00Z</cp:lastPrinted>
  <dcterms:created xsi:type="dcterms:W3CDTF">2014-08-27T14:12:00Z</dcterms:created>
  <dcterms:modified xsi:type="dcterms:W3CDTF">2015-03-10T01:15:00Z</dcterms:modified>
</cp:coreProperties>
</file>